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6" w:rsidRPr="00FA7A76" w:rsidRDefault="00C63F24" w:rsidP="00C63F24">
      <w:pPr>
        <w:pStyle w:val="IntenseQuote"/>
        <w:pBdr>
          <w:bottom w:val="none" w:sz="0" w:space="0" w:color="auto"/>
        </w:pBdr>
        <w:ind w:left="0"/>
        <w:rPr>
          <w:color w:val="FF0000"/>
          <w:sz w:val="24"/>
          <w:szCs w:val="24"/>
        </w:rPr>
      </w:pPr>
      <w:bookmarkStart w:id="0" w:name="_GoBack"/>
      <w:bookmarkEnd w:id="0"/>
      <w:r w:rsidRPr="00FA7A76">
        <w:rPr>
          <w:noProof/>
          <w:color w:val="FF0000"/>
        </w:rPr>
        <w:drawing>
          <wp:anchor distT="0" distB="0" distL="114300" distR="114300" simplePos="0" relativeHeight="251674624" behindDoc="1" locked="0" layoutInCell="1" allowOverlap="1" wp14:anchorId="41A777AA" wp14:editId="50A69AF6">
            <wp:simplePos x="0" y="0"/>
            <wp:positionH relativeFrom="column">
              <wp:posOffset>4358640</wp:posOffset>
            </wp:positionH>
            <wp:positionV relativeFrom="paragraph">
              <wp:posOffset>251460</wp:posOffset>
            </wp:positionV>
            <wp:extent cx="1225550" cy="882650"/>
            <wp:effectExtent l="0" t="0" r="0" b="0"/>
            <wp:wrapTight wrapText="bothSides">
              <wp:wrapPolygon edited="0">
                <wp:start x="0" y="0"/>
                <wp:lineTo x="0" y="20978"/>
                <wp:lineTo x="21152" y="20978"/>
                <wp:lineTo x="21152" y="0"/>
                <wp:lineTo x="0" y="0"/>
              </wp:wrapPolygon>
            </wp:wrapTight>
            <wp:docPr id="7" name="Picture 7" descr="C:\Users\USAID\Desktop\Pact Logo\Pact New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AID\Desktop\Pact Logo\Pact New Logo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882650"/>
                    </a:xfrm>
                    <a:prstGeom prst="rect">
                      <a:avLst/>
                    </a:prstGeom>
                    <a:noFill/>
                    <a:ln>
                      <a:noFill/>
                    </a:ln>
                  </pic:spPr>
                </pic:pic>
              </a:graphicData>
            </a:graphic>
          </wp:anchor>
        </w:drawing>
      </w:r>
      <w:r w:rsidR="00881289" w:rsidRPr="00FA7A76">
        <w:rPr>
          <w:noProof/>
          <w:color w:val="FF0000"/>
        </w:rPr>
        <w:drawing>
          <wp:inline distT="0" distB="0" distL="0" distR="0" wp14:anchorId="146AB7F7" wp14:editId="5D203E0B">
            <wp:extent cx="648335" cy="1440815"/>
            <wp:effectExtent l="0" t="0" r="0" b="6985"/>
            <wp:docPr id="1" name="Picture 1" descr="UNDP logo"/>
            <wp:cNvGraphicFramePr/>
            <a:graphic xmlns:a="http://schemas.openxmlformats.org/drawingml/2006/main">
              <a:graphicData uri="http://schemas.openxmlformats.org/drawingml/2006/picture">
                <pic:pic xmlns:pic="http://schemas.openxmlformats.org/drawingml/2006/picture">
                  <pic:nvPicPr>
                    <pic:cNvPr id="1" name="Picture 1" descr="UNDP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1440815"/>
                    </a:xfrm>
                    <a:prstGeom prst="rect">
                      <a:avLst/>
                    </a:prstGeom>
                    <a:noFill/>
                    <a:ln>
                      <a:noFill/>
                    </a:ln>
                  </pic:spPr>
                </pic:pic>
              </a:graphicData>
            </a:graphic>
          </wp:inline>
        </w:drawing>
      </w:r>
      <w:r w:rsidR="008B7575" w:rsidRPr="00FA7A76">
        <w:rPr>
          <w:noProof/>
          <w:color w:val="FF0000"/>
        </w:rPr>
        <mc:AlternateContent>
          <mc:Choice Requires="wps">
            <w:drawing>
              <wp:anchor distT="0" distB="0" distL="114300" distR="114300" simplePos="0" relativeHeight="251667456" behindDoc="0" locked="0" layoutInCell="1" allowOverlap="1" wp14:anchorId="583F60AD" wp14:editId="126CC3B0">
                <wp:simplePos x="0" y="0"/>
                <wp:positionH relativeFrom="column">
                  <wp:posOffset>1368425</wp:posOffset>
                </wp:positionH>
                <wp:positionV relativeFrom="paragraph">
                  <wp:posOffset>95250</wp:posOffset>
                </wp:positionV>
                <wp:extent cx="3152775" cy="742315"/>
                <wp:effectExtent l="0" t="0" r="952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E" w:rsidRPr="008B7575" w:rsidRDefault="007A437E" w:rsidP="00102030">
                            <w:pPr>
                              <w:spacing w:after="0" w:line="240" w:lineRule="auto"/>
                              <w:jc w:val="center"/>
                              <w:rPr>
                                <w:b/>
                                <w:sz w:val="28"/>
                                <w:szCs w:val="28"/>
                              </w:rPr>
                            </w:pPr>
                            <w:r w:rsidRPr="008B7575">
                              <w:rPr>
                                <w:b/>
                                <w:sz w:val="28"/>
                                <w:szCs w:val="28"/>
                              </w:rPr>
                              <w:t>Sustainable Microfinance</w:t>
                            </w:r>
                            <w:r>
                              <w:rPr>
                                <w:b/>
                                <w:sz w:val="28"/>
                                <w:szCs w:val="28"/>
                              </w:rPr>
                              <w:t xml:space="preserve"> to</w:t>
                            </w:r>
                          </w:p>
                          <w:p w:rsidR="007A437E" w:rsidRPr="008B7575" w:rsidRDefault="007A437E" w:rsidP="00102030">
                            <w:pPr>
                              <w:spacing w:after="0" w:line="240" w:lineRule="auto"/>
                              <w:jc w:val="center"/>
                              <w:rPr>
                                <w:b/>
                                <w:sz w:val="28"/>
                                <w:szCs w:val="28"/>
                              </w:rPr>
                            </w:pPr>
                            <w:r w:rsidRPr="008B7575">
                              <w:rPr>
                                <w:b/>
                                <w:sz w:val="28"/>
                                <w:szCs w:val="28"/>
                              </w:rPr>
                              <w:t xml:space="preserve"> Improve the Livelihoods of the Poor </w:t>
                            </w:r>
                          </w:p>
                          <w:p w:rsidR="007A437E" w:rsidRPr="008B7575" w:rsidRDefault="007A437E" w:rsidP="00102030">
                            <w:pPr>
                              <w:spacing w:after="0" w:line="240" w:lineRule="auto"/>
                              <w:jc w:val="center"/>
                              <w:rPr>
                                <w:b/>
                                <w:sz w:val="28"/>
                                <w:szCs w:val="28"/>
                              </w:rPr>
                            </w:pPr>
                            <w:r w:rsidRPr="008B7575">
                              <w:rPr>
                                <w:b/>
                                <w:sz w:val="28"/>
                                <w:szCs w:val="28"/>
                              </w:rPr>
                              <w:t>(MYA/01/004)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7.75pt;margin-top:7.5pt;width:248.25pt;height:58.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" stroked="f">
                <v:textbox style="mso-fit-shape-to-text:t">
                  <w:txbxContent>
                    <w:p w:rsidR="007A437E" w:rsidRPr="008B7575" w:rsidRDefault="007A437E" w:rsidP="00102030">
                      <w:pPr>
                        <w:spacing w:after="0" w:line="240" w:lineRule="auto"/>
                        <w:jc w:val="center"/>
                        <w:rPr>
                          <w:b/>
                          <w:sz w:val="28"/>
                          <w:szCs w:val="28"/>
                        </w:rPr>
                      </w:pPr>
                      <w:r w:rsidRPr="008B7575">
                        <w:rPr>
                          <w:b/>
                          <w:sz w:val="28"/>
                          <w:szCs w:val="28"/>
                        </w:rPr>
                        <w:t>Sustainable Microfinance</w:t>
                      </w:r>
                      <w:r>
                        <w:rPr>
                          <w:b/>
                          <w:sz w:val="28"/>
                          <w:szCs w:val="28"/>
                        </w:rPr>
                        <w:t xml:space="preserve"> to</w:t>
                      </w:r>
                    </w:p>
                    <w:p w:rsidR="007A437E" w:rsidRPr="008B7575" w:rsidRDefault="007A437E" w:rsidP="00102030">
                      <w:pPr>
                        <w:spacing w:after="0" w:line="240" w:lineRule="auto"/>
                        <w:jc w:val="center"/>
                        <w:rPr>
                          <w:b/>
                          <w:sz w:val="28"/>
                          <w:szCs w:val="28"/>
                        </w:rPr>
                      </w:pPr>
                      <w:r w:rsidRPr="008B7575">
                        <w:rPr>
                          <w:b/>
                          <w:sz w:val="28"/>
                          <w:szCs w:val="28"/>
                        </w:rPr>
                        <w:t xml:space="preserve"> Improve the Livelihoods of the Poor </w:t>
                      </w:r>
                    </w:p>
                    <w:p w:rsidR="007A437E" w:rsidRPr="008B7575" w:rsidRDefault="007A437E" w:rsidP="00102030">
                      <w:pPr>
                        <w:spacing w:after="0" w:line="240" w:lineRule="auto"/>
                        <w:jc w:val="center"/>
                        <w:rPr>
                          <w:b/>
                          <w:sz w:val="28"/>
                          <w:szCs w:val="28"/>
                        </w:rPr>
                      </w:pPr>
                      <w:r w:rsidRPr="008B7575">
                        <w:rPr>
                          <w:b/>
                          <w:sz w:val="28"/>
                          <w:szCs w:val="28"/>
                        </w:rPr>
                        <w:t>(MYA/01/004)</w:t>
                      </w:r>
                    </w:p>
                  </w:txbxContent>
                </v:textbox>
              </v:shape>
            </w:pict>
          </mc:Fallback>
        </mc:AlternateContent>
      </w:r>
    </w:p>
    <w:p w:rsidR="004C1B96" w:rsidRPr="00FA7A76" w:rsidRDefault="004C1B96" w:rsidP="00C63F24">
      <w:pPr>
        <w:pBdr>
          <w:top w:val="single" w:sz="4" w:space="17" w:color="auto"/>
        </w:pBdr>
        <w:spacing w:after="0" w:line="240" w:lineRule="auto"/>
        <w:jc w:val="center"/>
        <w:rPr>
          <w:b/>
        </w:rPr>
      </w:pPr>
      <w:r w:rsidRPr="00FA7A76">
        <w:rPr>
          <w:b/>
        </w:rPr>
        <w:t>STRENGTHEN CIVIL SOCIETY BY MICROFINANCE PROJECT</w:t>
      </w:r>
    </w:p>
    <w:p w:rsidR="004C1B96" w:rsidRPr="00FA7A76" w:rsidRDefault="004C1B96" w:rsidP="009562BB">
      <w:pPr>
        <w:spacing w:after="0" w:line="240" w:lineRule="auto"/>
        <w:jc w:val="center"/>
        <w:rPr>
          <w:b/>
        </w:rPr>
      </w:pPr>
      <w:r w:rsidRPr="00FA7A76">
        <w:rPr>
          <w:b/>
        </w:rPr>
        <w:t>AWARD NUMBER: AID-486-A-09-00008</w:t>
      </w:r>
    </w:p>
    <w:p w:rsidR="00037B4C" w:rsidRPr="00FA7A76" w:rsidRDefault="00037B4C" w:rsidP="009562BB">
      <w:pPr>
        <w:spacing w:after="0" w:line="240" w:lineRule="auto"/>
        <w:jc w:val="center"/>
        <w:rPr>
          <w:b/>
          <w:color w:val="FF0000"/>
        </w:rPr>
      </w:pPr>
    </w:p>
    <w:p w:rsidR="00F33592" w:rsidRPr="00FA7A76" w:rsidRDefault="00F33592" w:rsidP="009562BB">
      <w:pPr>
        <w:spacing w:after="0" w:line="240" w:lineRule="auto"/>
        <w:jc w:val="center"/>
        <w:rPr>
          <w:b/>
          <w:color w:val="FF0000"/>
        </w:rPr>
      </w:pPr>
    </w:p>
    <w:p w:rsidR="00F33592" w:rsidRPr="00FA7A76" w:rsidRDefault="00F33592" w:rsidP="009562BB">
      <w:pPr>
        <w:spacing w:after="0" w:line="240" w:lineRule="auto"/>
        <w:jc w:val="center"/>
        <w:rPr>
          <w:b/>
          <w:color w:val="FF0000"/>
        </w:rPr>
      </w:pPr>
    </w:p>
    <w:p w:rsidR="00F33592" w:rsidRPr="00FA7A76" w:rsidRDefault="00F33592" w:rsidP="009562BB">
      <w:pPr>
        <w:spacing w:after="0" w:line="240" w:lineRule="auto"/>
        <w:jc w:val="center"/>
        <w:rPr>
          <w:b/>
        </w:rPr>
      </w:pPr>
    </w:p>
    <w:p w:rsidR="00037B4C" w:rsidRPr="00FA7A76" w:rsidRDefault="00037B4C" w:rsidP="009562BB">
      <w:pPr>
        <w:spacing w:after="0" w:line="240" w:lineRule="auto"/>
        <w:jc w:val="center"/>
        <w:rPr>
          <w:b/>
        </w:rPr>
      </w:pPr>
      <w:r w:rsidRPr="00FA7A76">
        <w:rPr>
          <w:b/>
        </w:rPr>
        <w:t>Report on</w:t>
      </w:r>
      <w:r w:rsidR="003A055F" w:rsidRPr="00FA7A76">
        <w:rPr>
          <w:b/>
        </w:rPr>
        <w:t>:</w:t>
      </w:r>
    </w:p>
    <w:p w:rsidR="00037B4C" w:rsidRPr="00FA7A76" w:rsidRDefault="00037B4C" w:rsidP="009562BB">
      <w:pPr>
        <w:spacing w:after="0" w:line="240" w:lineRule="auto"/>
        <w:jc w:val="center"/>
        <w:rPr>
          <w:b/>
        </w:rPr>
      </w:pPr>
      <w:r w:rsidRPr="00FA7A76">
        <w:rPr>
          <w:b/>
        </w:rPr>
        <w:t>Self-Reliance Groups Access to Microfinance’s Wholesale Loan</w:t>
      </w:r>
    </w:p>
    <w:p w:rsidR="00037B4C" w:rsidRPr="00FA7A76" w:rsidRDefault="00037B4C" w:rsidP="009562BB">
      <w:pPr>
        <w:spacing w:after="0" w:line="240" w:lineRule="auto"/>
        <w:jc w:val="center"/>
        <w:rPr>
          <w:b/>
        </w:rPr>
      </w:pPr>
      <w:r w:rsidRPr="00FA7A76">
        <w:rPr>
          <w:b/>
        </w:rPr>
        <w:t>Funded by USAID through UNDP Myanmar and implemented by Pact</w:t>
      </w:r>
    </w:p>
    <w:p w:rsidR="00037B4C" w:rsidRPr="00FA7A76" w:rsidRDefault="00037B4C" w:rsidP="009562BB">
      <w:pPr>
        <w:spacing w:after="0" w:line="240" w:lineRule="auto"/>
        <w:jc w:val="center"/>
        <w:rPr>
          <w:b/>
          <w:color w:val="FF0000"/>
        </w:rPr>
      </w:pPr>
    </w:p>
    <w:p w:rsidR="00EF11A1" w:rsidRPr="00FA7A76" w:rsidRDefault="00A204C8" w:rsidP="00C63F24">
      <w:pPr>
        <w:spacing w:after="0" w:line="240" w:lineRule="auto"/>
        <w:jc w:val="center"/>
        <w:rPr>
          <w:b/>
          <w:color w:val="FF0000"/>
        </w:rPr>
      </w:pPr>
      <w:r w:rsidRPr="00FA7A76">
        <w:rPr>
          <w:noProof/>
          <w:color w:val="FF0000"/>
        </w:rPr>
        <w:drawing>
          <wp:anchor distT="0" distB="0" distL="114300" distR="114300" simplePos="0" relativeHeight="251745280" behindDoc="1" locked="0" layoutInCell="1" allowOverlap="1" wp14:anchorId="78582C93" wp14:editId="69B2F152">
            <wp:simplePos x="0" y="0"/>
            <wp:positionH relativeFrom="column">
              <wp:posOffset>2612390</wp:posOffset>
            </wp:positionH>
            <wp:positionV relativeFrom="paragraph">
              <wp:posOffset>23495</wp:posOffset>
            </wp:positionV>
            <wp:extent cx="2974340" cy="2421255"/>
            <wp:effectExtent l="171450" t="171450" r="378460" b="360045"/>
            <wp:wrapTight wrapText="bothSides">
              <wp:wrapPolygon edited="0">
                <wp:start x="1522" y="-1530"/>
                <wp:lineTo x="-1245" y="-1190"/>
                <wp:lineTo x="-1245" y="22263"/>
                <wp:lineTo x="-692" y="23282"/>
                <wp:lineTo x="-692" y="23452"/>
                <wp:lineTo x="692" y="24302"/>
                <wp:lineTo x="830" y="24642"/>
                <wp:lineTo x="22135" y="24642"/>
                <wp:lineTo x="22273" y="24302"/>
                <wp:lineTo x="23518" y="23282"/>
                <wp:lineTo x="24072" y="20733"/>
                <wp:lineTo x="24210" y="680"/>
                <wp:lineTo x="22273" y="-1190"/>
                <wp:lineTo x="21443" y="-1530"/>
                <wp:lineTo x="1522" y="-1530"/>
              </wp:wrapPolygon>
            </wp:wrapTight>
            <wp:docPr id="17410" name="Content Placeholder 3" descr="DSCN0009.JPG"/>
            <wp:cNvGraphicFramePr/>
            <a:graphic xmlns:a="http://schemas.openxmlformats.org/drawingml/2006/main">
              <a:graphicData uri="http://schemas.openxmlformats.org/drawingml/2006/picture">
                <pic:pic xmlns:pic="http://schemas.openxmlformats.org/drawingml/2006/picture">
                  <pic:nvPicPr>
                    <pic:cNvPr id="17410" name="Content Placeholder 3" descr="DSCN0009.JPG"/>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74340" cy="24212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Pr="00FA7A76">
        <w:rPr>
          <w:noProof/>
          <w:color w:val="FF0000"/>
        </w:rPr>
        <w:drawing>
          <wp:anchor distT="0" distB="0" distL="114300" distR="114300" simplePos="0" relativeHeight="251746304" behindDoc="1" locked="0" layoutInCell="1" allowOverlap="1" wp14:anchorId="10E0C29D" wp14:editId="1996C320">
            <wp:simplePos x="0" y="0"/>
            <wp:positionH relativeFrom="column">
              <wp:posOffset>-464185</wp:posOffset>
            </wp:positionH>
            <wp:positionV relativeFrom="paragraph">
              <wp:posOffset>16510</wp:posOffset>
            </wp:positionV>
            <wp:extent cx="2962275" cy="2421255"/>
            <wp:effectExtent l="171450" t="171450" r="390525" b="360045"/>
            <wp:wrapTight wrapText="bothSides">
              <wp:wrapPolygon edited="0">
                <wp:start x="1528" y="-1530"/>
                <wp:lineTo x="-1250" y="-1190"/>
                <wp:lineTo x="-1250" y="22263"/>
                <wp:lineTo x="-695" y="23282"/>
                <wp:lineTo x="-695" y="23452"/>
                <wp:lineTo x="695" y="24302"/>
                <wp:lineTo x="833" y="24642"/>
                <wp:lineTo x="22225" y="24642"/>
                <wp:lineTo x="22364" y="24302"/>
                <wp:lineTo x="23614" y="23282"/>
                <wp:lineTo x="24170" y="20733"/>
                <wp:lineTo x="24309" y="680"/>
                <wp:lineTo x="22364" y="-1190"/>
                <wp:lineTo x="21531" y="-1530"/>
                <wp:lineTo x="1528" y="-1530"/>
              </wp:wrapPolygon>
            </wp:wrapTight>
            <wp:docPr id="2" name="Picture 2" descr="C:\Users\USAID\Desktop\DSC01941.JPG"/>
            <wp:cNvGraphicFramePr/>
            <a:graphic xmlns:a="http://schemas.openxmlformats.org/drawingml/2006/main">
              <a:graphicData uri="http://schemas.openxmlformats.org/drawingml/2006/picture">
                <pic:pic xmlns:pic="http://schemas.openxmlformats.org/drawingml/2006/picture">
                  <pic:nvPicPr>
                    <pic:cNvPr id="1" name="Picture 1" descr="C:\Users\USAID\Desktop\DSC0194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24212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463AD" w:rsidRPr="00FA7A76" w:rsidRDefault="00C63F24" w:rsidP="00C63F24">
      <w:pPr>
        <w:spacing w:after="0" w:line="240" w:lineRule="auto"/>
        <w:jc w:val="center"/>
        <w:rPr>
          <w:b/>
        </w:rPr>
      </w:pPr>
      <w:r w:rsidRPr="00FA7A76">
        <w:rPr>
          <w:b/>
        </w:rPr>
        <w:t>Reporting Period</w:t>
      </w:r>
    </w:p>
    <w:p w:rsidR="00C63F24" w:rsidRPr="00FA7A76" w:rsidRDefault="00FA7A76" w:rsidP="00C63F24">
      <w:pPr>
        <w:tabs>
          <w:tab w:val="left" w:pos="720"/>
          <w:tab w:val="left" w:pos="1440"/>
          <w:tab w:val="left" w:pos="2160"/>
          <w:tab w:val="left" w:pos="2880"/>
          <w:tab w:val="left" w:pos="3600"/>
          <w:tab w:val="left" w:pos="4320"/>
          <w:tab w:val="left" w:pos="5040"/>
          <w:tab w:val="left" w:pos="5760"/>
          <w:tab w:val="left" w:pos="6480"/>
          <w:tab w:val="left" w:pos="7039"/>
        </w:tabs>
        <w:spacing w:before="240" w:after="240" w:line="240" w:lineRule="auto"/>
        <w:jc w:val="center"/>
        <w:rPr>
          <w:b/>
        </w:rPr>
      </w:pPr>
      <w:r w:rsidRPr="00FA7A76">
        <w:rPr>
          <w:b/>
        </w:rPr>
        <w:t>July-Sep</w:t>
      </w:r>
      <w:r w:rsidR="00871B88" w:rsidRPr="00FA7A76">
        <w:rPr>
          <w:b/>
        </w:rPr>
        <w:t xml:space="preserve"> 2013</w:t>
      </w:r>
    </w:p>
    <w:p w:rsidR="00F33592" w:rsidRPr="00FA7A76" w:rsidRDefault="00F33592" w:rsidP="00C63F24">
      <w:pPr>
        <w:tabs>
          <w:tab w:val="left" w:pos="720"/>
          <w:tab w:val="left" w:pos="1440"/>
          <w:tab w:val="left" w:pos="2160"/>
          <w:tab w:val="left" w:pos="2880"/>
          <w:tab w:val="left" w:pos="3600"/>
          <w:tab w:val="left" w:pos="4320"/>
          <w:tab w:val="left" w:pos="5040"/>
          <w:tab w:val="left" w:pos="5760"/>
          <w:tab w:val="left" w:pos="6480"/>
          <w:tab w:val="left" w:pos="7039"/>
        </w:tabs>
        <w:spacing w:before="240" w:after="240" w:line="240" w:lineRule="auto"/>
        <w:jc w:val="center"/>
        <w:rPr>
          <w:b/>
          <w:color w:val="FF0000"/>
        </w:rPr>
      </w:pPr>
    </w:p>
    <w:p w:rsidR="00C63F24" w:rsidRDefault="00C63F24" w:rsidP="00C63F24">
      <w:pPr>
        <w:tabs>
          <w:tab w:val="left" w:pos="720"/>
          <w:tab w:val="left" w:pos="1440"/>
          <w:tab w:val="left" w:pos="2160"/>
          <w:tab w:val="left" w:pos="2880"/>
          <w:tab w:val="left" w:pos="3600"/>
          <w:tab w:val="left" w:pos="4320"/>
          <w:tab w:val="left" w:pos="5040"/>
          <w:tab w:val="left" w:pos="5760"/>
          <w:tab w:val="left" w:pos="6480"/>
          <w:tab w:val="left" w:pos="7039"/>
        </w:tabs>
        <w:spacing w:before="240" w:after="240" w:line="240" w:lineRule="auto"/>
        <w:jc w:val="center"/>
        <w:rPr>
          <w:b/>
        </w:rPr>
      </w:pPr>
      <w:r w:rsidRPr="00FA7A76">
        <w:rPr>
          <w:b/>
        </w:rPr>
        <w:t>R</w:t>
      </w:r>
      <w:r w:rsidR="005B4159" w:rsidRPr="00FA7A76">
        <w:rPr>
          <w:b/>
        </w:rPr>
        <w:t>eporting</w:t>
      </w:r>
      <w:r w:rsidRPr="00FA7A76">
        <w:rPr>
          <w:b/>
        </w:rPr>
        <w:t xml:space="preserve"> Date</w:t>
      </w:r>
    </w:p>
    <w:p w:rsidR="008E69D6" w:rsidRPr="00FA7A76" w:rsidRDefault="008E69D6" w:rsidP="00C63F24">
      <w:pPr>
        <w:tabs>
          <w:tab w:val="left" w:pos="720"/>
          <w:tab w:val="left" w:pos="1440"/>
          <w:tab w:val="left" w:pos="2160"/>
          <w:tab w:val="left" w:pos="2880"/>
          <w:tab w:val="left" w:pos="3600"/>
          <w:tab w:val="left" w:pos="4320"/>
          <w:tab w:val="left" w:pos="5040"/>
          <w:tab w:val="left" w:pos="5760"/>
          <w:tab w:val="left" w:pos="6480"/>
          <w:tab w:val="left" w:pos="7039"/>
        </w:tabs>
        <w:spacing w:before="240" w:after="240" w:line="240" w:lineRule="auto"/>
        <w:jc w:val="center"/>
        <w:rPr>
          <w:b/>
        </w:rPr>
      </w:pPr>
    </w:p>
    <w:p w:rsidR="00F463AD" w:rsidRPr="00FA7A76" w:rsidRDefault="00F910A0" w:rsidP="00F910A0">
      <w:pPr>
        <w:tabs>
          <w:tab w:val="left" w:pos="360"/>
          <w:tab w:val="left" w:pos="720"/>
          <w:tab w:val="left" w:pos="1440"/>
          <w:tab w:val="left" w:pos="2160"/>
          <w:tab w:val="left" w:pos="2880"/>
          <w:tab w:val="left" w:pos="3600"/>
          <w:tab w:val="left" w:pos="4320"/>
          <w:tab w:val="left" w:pos="5040"/>
          <w:tab w:val="left" w:pos="5760"/>
          <w:tab w:val="left" w:pos="6480"/>
          <w:tab w:val="left" w:pos="7039"/>
        </w:tabs>
        <w:spacing w:before="240" w:after="240" w:line="240" w:lineRule="auto"/>
        <w:jc w:val="center"/>
        <w:rPr>
          <w:b/>
        </w:rPr>
      </w:pPr>
      <w:r>
        <w:rPr>
          <w:b/>
        </w:rPr>
        <w:t>Dec 19</w:t>
      </w:r>
      <w:r w:rsidR="00D679D8" w:rsidRPr="00FA7A76">
        <w:rPr>
          <w:b/>
        </w:rPr>
        <w:t xml:space="preserve">, </w:t>
      </w:r>
      <w:r w:rsidR="00871B88" w:rsidRPr="00FA7A76">
        <w:rPr>
          <w:b/>
        </w:rPr>
        <w:t>2013</w:t>
      </w:r>
    </w:p>
    <w:p w:rsidR="00873376" w:rsidRPr="00FA7A76" w:rsidRDefault="005F7C02" w:rsidP="009562BB">
      <w:pPr>
        <w:spacing w:line="240" w:lineRule="auto"/>
        <w:rPr>
          <w:b/>
        </w:rPr>
      </w:pPr>
      <w:r w:rsidRPr="00FA7A76">
        <w:rPr>
          <w:b/>
        </w:rPr>
        <w:lastRenderedPageBreak/>
        <w:t>BASIC DATA</w:t>
      </w:r>
    </w:p>
    <w:p w:rsidR="00871B88" w:rsidRPr="00FA7A76" w:rsidRDefault="00871B88" w:rsidP="00871B88">
      <w:pPr>
        <w:spacing w:line="240" w:lineRule="auto"/>
        <w:rPr>
          <w:rFonts w:ascii="Garamond" w:hAnsi="Garamond"/>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670"/>
      </w:tblGrid>
      <w:tr w:rsidR="00FA7A76" w:rsidRPr="00FA7A76" w:rsidTr="008E69D6">
        <w:trPr>
          <w:trHeight w:val="720"/>
          <w:jc w:val="center"/>
        </w:trPr>
        <w:tc>
          <w:tcPr>
            <w:tcW w:w="2988" w:type="dxa"/>
          </w:tcPr>
          <w:p w:rsidR="00D30CDE" w:rsidRPr="00FA7A76" w:rsidRDefault="00D30CDE" w:rsidP="00881289">
            <w:pPr>
              <w:spacing w:after="200" w:line="276" w:lineRule="auto"/>
              <w:rPr>
                <w:b/>
                <w:color w:val="FF0000"/>
              </w:rPr>
            </w:pPr>
            <w:r w:rsidRPr="00FA7A76">
              <w:rPr>
                <w:b/>
              </w:rPr>
              <w:t>Project Title</w:t>
            </w:r>
          </w:p>
        </w:tc>
        <w:tc>
          <w:tcPr>
            <w:tcW w:w="5670" w:type="dxa"/>
          </w:tcPr>
          <w:p w:rsidR="00D30CDE" w:rsidRPr="00FA7A76" w:rsidRDefault="00D30CDE" w:rsidP="00881289">
            <w:pPr>
              <w:rPr>
                <w:b/>
                <w:color w:val="FF0000"/>
              </w:rPr>
            </w:pPr>
            <w:r w:rsidRPr="00FA7A76">
              <w:rPr>
                <w:b/>
              </w:rPr>
              <w:t>STRENGTHEN CIVIL SOCIETY BY MICROFINANCE PROJECT</w:t>
            </w:r>
          </w:p>
        </w:tc>
      </w:tr>
      <w:tr w:rsidR="00FA7A76" w:rsidRPr="00FA7A76" w:rsidTr="008E69D6">
        <w:trPr>
          <w:trHeight w:val="720"/>
          <w:jc w:val="center"/>
        </w:trPr>
        <w:tc>
          <w:tcPr>
            <w:tcW w:w="2988" w:type="dxa"/>
          </w:tcPr>
          <w:p w:rsidR="00D30CDE" w:rsidRPr="00FA7A76" w:rsidRDefault="00D30CDE" w:rsidP="00881289">
            <w:pPr>
              <w:rPr>
                <w:b/>
                <w:color w:val="FF0000"/>
              </w:rPr>
            </w:pPr>
            <w:r w:rsidRPr="00FA7A76">
              <w:rPr>
                <w:b/>
              </w:rPr>
              <w:t>AWARD NUMBER</w:t>
            </w:r>
          </w:p>
        </w:tc>
        <w:tc>
          <w:tcPr>
            <w:tcW w:w="5670" w:type="dxa"/>
          </w:tcPr>
          <w:p w:rsidR="00D30CDE" w:rsidRPr="00FA7A76" w:rsidRDefault="00D30CDE" w:rsidP="00881289">
            <w:pPr>
              <w:rPr>
                <w:b/>
                <w:color w:val="FF0000"/>
              </w:rPr>
            </w:pPr>
            <w:r w:rsidRPr="00FA7A76">
              <w:rPr>
                <w:b/>
              </w:rPr>
              <w:t>AID-486-A-09-00008</w:t>
            </w:r>
          </w:p>
        </w:tc>
      </w:tr>
      <w:tr w:rsidR="00FA7A76" w:rsidRPr="00FA7A76" w:rsidTr="008E69D6">
        <w:trPr>
          <w:trHeight w:val="720"/>
          <w:jc w:val="center"/>
        </w:trPr>
        <w:tc>
          <w:tcPr>
            <w:tcW w:w="2988" w:type="dxa"/>
          </w:tcPr>
          <w:p w:rsidR="00D30CDE" w:rsidRPr="00FA7A76" w:rsidRDefault="00D30CDE" w:rsidP="00881289">
            <w:pPr>
              <w:spacing w:after="200" w:line="276" w:lineRule="auto"/>
              <w:rPr>
                <w:b/>
              </w:rPr>
            </w:pPr>
            <w:r w:rsidRPr="00FA7A76">
              <w:rPr>
                <w:b/>
              </w:rPr>
              <w:t>Duration</w:t>
            </w:r>
          </w:p>
        </w:tc>
        <w:tc>
          <w:tcPr>
            <w:tcW w:w="5670" w:type="dxa"/>
          </w:tcPr>
          <w:p w:rsidR="00D30CDE" w:rsidRPr="00FA7A76" w:rsidRDefault="007A437E" w:rsidP="004C0861">
            <w:pPr>
              <w:rPr>
                <w:b/>
              </w:rPr>
            </w:pPr>
            <w:r>
              <w:rPr>
                <w:b/>
              </w:rPr>
              <w:t>30</w:t>
            </w:r>
            <w:r w:rsidR="00D30CDE" w:rsidRPr="00FA7A76">
              <w:rPr>
                <w:b/>
              </w:rPr>
              <w:t xml:space="preserve"> Sep 2011 to 30 Sep 2013</w:t>
            </w:r>
          </w:p>
        </w:tc>
      </w:tr>
      <w:tr w:rsidR="00FA7A76" w:rsidRPr="00FA7A76" w:rsidTr="008E69D6">
        <w:trPr>
          <w:jc w:val="center"/>
        </w:trPr>
        <w:tc>
          <w:tcPr>
            <w:tcW w:w="2988" w:type="dxa"/>
          </w:tcPr>
          <w:p w:rsidR="00D30CDE" w:rsidRPr="00FA7A76" w:rsidRDefault="00D30CDE" w:rsidP="00881289">
            <w:pPr>
              <w:spacing w:after="200" w:line="276" w:lineRule="auto"/>
              <w:rPr>
                <w:b/>
              </w:rPr>
            </w:pPr>
            <w:r w:rsidRPr="00FA7A76">
              <w:rPr>
                <w:b/>
              </w:rPr>
              <w:t>Geographical Area</w:t>
            </w:r>
          </w:p>
        </w:tc>
        <w:tc>
          <w:tcPr>
            <w:tcW w:w="5670" w:type="dxa"/>
          </w:tcPr>
          <w:p w:rsidR="00D30CDE" w:rsidRPr="00FA7A76" w:rsidRDefault="00D30CDE" w:rsidP="00881289">
            <w:pPr>
              <w:rPr>
                <w:b/>
              </w:rPr>
            </w:pPr>
            <w:r w:rsidRPr="00FA7A76">
              <w:rPr>
                <w:b/>
              </w:rPr>
              <w:t>Delta Region</w:t>
            </w:r>
            <w:r w:rsidR="004C0861">
              <w:rPr>
                <w:b/>
              </w:rPr>
              <w:t xml:space="preserve"> Townships</w:t>
            </w:r>
            <w:r w:rsidRPr="00FA7A76">
              <w:rPr>
                <w:b/>
              </w:rPr>
              <w:t xml:space="preserve">:  </w:t>
            </w:r>
          </w:p>
          <w:p w:rsidR="00D30CDE" w:rsidRPr="00FA7A76" w:rsidRDefault="00D30CDE" w:rsidP="00881289">
            <w:pPr>
              <w:pStyle w:val="ListParagraph"/>
              <w:numPr>
                <w:ilvl w:val="0"/>
                <w:numId w:val="22"/>
              </w:numPr>
              <w:rPr>
                <w:b/>
              </w:rPr>
            </w:pPr>
            <w:proofErr w:type="spellStart"/>
            <w:r w:rsidRPr="00FA7A76">
              <w:rPr>
                <w:b/>
              </w:rPr>
              <w:t>Bogale</w:t>
            </w:r>
            <w:proofErr w:type="spellEnd"/>
            <w:r w:rsidRPr="00FA7A76">
              <w:rPr>
                <w:b/>
              </w:rPr>
              <w:t xml:space="preserve"> </w:t>
            </w:r>
          </w:p>
          <w:p w:rsidR="00D30CDE" w:rsidRPr="00FA7A76" w:rsidRDefault="00D30CDE" w:rsidP="00881289">
            <w:pPr>
              <w:pStyle w:val="ListParagraph"/>
              <w:numPr>
                <w:ilvl w:val="0"/>
                <w:numId w:val="22"/>
              </w:numPr>
              <w:rPr>
                <w:b/>
              </w:rPr>
            </w:pPr>
            <w:proofErr w:type="spellStart"/>
            <w:r w:rsidRPr="00FA7A76">
              <w:rPr>
                <w:b/>
              </w:rPr>
              <w:t>Mawgyun</w:t>
            </w:r>
            <w:proofErr w:type="spellEnd"/>
            <w:r w:rsidRPr="00FA7A76">
              <w:rPr>
                <w:b/>
              </w:rPr>
              <w:t xml:space="preserve"> </w:t>
            </w:r>
          </w:p>
          <w:p w:rsidR="00D30CDE" w:rsidRPr="00FA7A76" w:rsidRDefault="00D30CDE" w:rsidP="004C0861">
            <w:pPr>
              <w:pStyle w:val="ListParagraph"/>
              <w:numPr>
                <w:ilvl w:val="0"/>
                <w:numId w:val="22"/>
              </w:numPr>
              <w:rPr>
                <w:b/>
              </w:rPr>
            </w:pPr>
            <w:proofErr w:type="spellStart"/>
            <w:r w:rsidRPr="00FA7A76">
              <w:rPr>
                <w:b/>
              </w:rPr>
              <w:t>Labutta</w:t>
            </w:r>
            <w:proofErr w:type="spellEnd"/>
            <w:r w:rsidRPr="00FA7A76">
              <w:rPr>
                <w:b/>
              </w:rPr>
              <w:t xml:space="preserve"> </w:t>
            </w:r>
          </w:p>
        </w:tc>
      </w:tr>
      <w:tr w:rsidR="00FA7A76" w:rsidRPr="00FA7A76" w:rsidTr="008E69D6">
        <w:trPr>
          <w:trHeight w:val="720"/>
          <w:jc w:val="center"/>
        </w:trPr>
        <w:tc>
          <w:tcPr>
            <w:tcW w:w="2988" w:type="dxa"/>
          </w:tcPr>
          <w:p w:rsidR="00D30CDE" w:rsidRPr="00FA7A76" w:rsidRDefault="00D30CDE" w:rsidP="00881289">
            <w:pPr>
              <w:spacing w:after="200" w:line="276" w:lineRule="auto"/>
              <w:rPr>
                <w:b/>
              </w:rPr>
            </w:pPr>
            <w:r w:rsidRPr="00FA7A76">
              <w:rPr>
                <w:b/>
              </w:rPr>
              <w:t>Responsible Organizations</w:t>
            </w:r>
          </w:p>
        </w:tc>
        <w:tc>
          <w:tcPr>
            <w:tcW w:w="5670" w:type="dxa"/>
          </w:tcPr>
          <w:p w:rsidR="00D30CDE" w:rsidRPr="00FA7A76" w:rsidRDefault="00D30CDE" w:rsidP="00D679D8">
            <w:pPr>
              <w:rPr>
                <w:b/>
              </w:rPr>
            </w:pPr>
            <w:r w:rsidRPr="00FA7A76">
              <w:rPr>
                <w:b/>
              </w:rPr>
              <w:t>The United Nations Development Program</w:t>
            </w:r>
            <w:r w:rsidR="00D679D8" w:rsidRPr="00FA7A76">
              <w:rPr>
                <w:b/>
              </w:rPr>
              <w:t xml:space="preserve"> </w:t>
            </w:r>
            <w:r w:rsidRPr="00FA7A76">
              <w:rPr>
                <w:b/>
              </w:rPr>
              <w:t>(Myanmar) and PACT Myanmar</w:t>
            </w:r>
          </w:p>
        </w:tc>
      </w:tr>
      <w:tr w:rsidR="00FA7A76" w:rsidRPr="00FA7A76" w:rsidTr="008E69D6">
        <w:trPr>
          <w:trHeight w:val="720"/>
          <w:jc w:val="center"/>
        </w:trPr>
        <w:tc>
          <w:tcPr>
            <w:tcW w:w="2988" w:type="dxa"/>
          </w:tcPr>
          <w:p w:rsidR="00D30CDE" w:rsidRPr="00FA7A76" w:rsidRDefault="00D30CDE" w:rsidP="00881289">
            <w:pPr>
              <w:spacing w:after="200" w:line="276" w:lineRule="auto"/>
              <w:rPr>
                <w:b/>
              </w:rPr>
            </w:pPr>
            <w:r w:rsidRPr="00FA7A76">
              <w:rPr>
                <w:b/>
              </w:rPr>
              <w:t xml:space="preserve">Total Project Cost </w:t>
            </w:r>
          </w:p>
        </w:tc>
        <w:tc>
          <w:tcPr>
            <w:tcW w:w="5670" w:type="dxa"/>
          </w:tcPr>
          <w:p w:rsidR="00D30CDE" w:rsidRPr="00FA7A76" w:rsidRDefault="00D30CDE" w:rsidP="00881289">
            <w:pPr>
              <w:rPr>
                <w:b/>
              </w:rPr>
            </w:pPr>
            <w:r w:rsidRPr="00FA7A76">
              <w:rPr>
                <w:b/>
              </w:rPr>
              <w:t>$2,109,000</w:t>
            </w:r>
          </w:p>
        </w:tc>
      </w:tr>
      <w:tr w:rsidR="00FA7A76" w:rsidRPr="00FA7A76" w:rsidTr="008E69D6">
        <w:trPr>
          <w:trHeight w:val="720"/>
          <w:jc w:val="center"/>
        </w:trPr>
        <w:tc>
          <w:tcPr>
            <w:tcW w:w="2988" w:type="dxa"/>
          </w:tcPr>
          <w:p w:rsidR="00D30CDE" w:rsidRPr="00FA7A76" w:rsidRDefault="00D30CDE" w:rsidP="00881289">
            <w:pPr>
              <w:spacing w:after="200" w:line="276" w:lineRule="auto"/>
              <w:rPr>
                <w:b/>
              </w:rPr>
            </w:pPr>
            <w:r w:rsidRPr="00FA7A76">
              <w:rPr>
                <w:b/>
              </w:rPr>
              <w:t xml:space="preserve">Reporting Period </w:t>
            </w:r>
          </w:p>
        </w:tc>
        <w:tc>
          <w:tcPr>
            <w:tcW w:w="5670" w:type="dxa"/>
          </w:tcPr>
          <w:p w:rsidR="00D30CDE" w:rsidRPr="00FA7A76" w:rsidRDefault="00CB02C5" w:rsidP="004C0861">
            <w:pPr>
              <w:rPr>
                <w:b/>
              </w:rPr>
            </w:pPr>
            <w:r>
              <w:rPr>
                <w:b/>
              </w:rPr>
              <w:t>July-Sep</w:t>
            </w:r>
            <w:r w:rsidR="00D30CDE" w:rsidRPr="00FA7A76">
              <w:rPr>
                <w:b/>
              </w:rPr>
              <w:t xml:space="preserve"> 2013 ( </w:t>
            </w:r>
            <w:r w:rsidR="004C0861">
              <w:rPr>
                <w:b/>
              </w:rPr>
              <w:t>Fourth</w:t>
            </w:r>
            <w:r w:rsidR="004C0861" w:rsidRPr="00FA7A76">
              <w:rPr>
                <w:b/>
              </w:rPr>
              <w:t xml:space="preserve"> </w:t>
            </w:r>
            <w:r w:rsidR="00D30CDE" w:rsidRPr="00FA7A76">
              <w:rPr>
                <w:b/>
              </w:rPr>
              <w:t>Quarter Report, 2013)</w:t>
            </w:r>
          </w:p>
        </w:tc>
      </w:tr>
    </w:tbl>
    <w:p w:rsidR="00871B88" w:rsidRPr="00FA7A76" w:rsidRDefault="00871B88" w:rsidP="00871B88">
      <w:pPr>
        <w:spacing w:line="240" w:lineRule="auto"/>
        <w:rPr>
          <w:rFonts w:ascii="Garamond" w:hAnsi="Garamond"/>
          <w:b/>
          <w:color w:val="FF0000"/>
          <w:sz w:val="28"/>
        </w:rPr>
      </w:pPr>
      <w:r w:rsidRPr="00FA7A76">
        <w:rPr>
          <w:rFonts w:ascii="Garamond" w:hAnsi="Garamond"/>
          <w:b/>
          <w:color w:val="FF0000"/>
          <w:sz w:val="28"/>
        </w:rPr>
        <w:br w:type="page"/>
      </w:r>
    </w:p>
    <w:p w:rsidR="00A204C8" w:rsidRDefault="00E77212" w:rsidP="00A204C8">
      <w:pPr>
        <w:tabs>
          <w:tab w:val="left" w:pos="1325"/>
        </w:tabs>
        <w:spacing w:before="120" w:after="120"/>
        <w:jc w:val="both"/>
        <w:rPr>
          <w:b/>
          <w:sz w:val="24"/>
        </w:rPr>
      </w:pPr>
      <w:r w:rsidRPr="00FA7A76">
        <w:rPr>
          <w:b/>
          <w:sz w:val="24"/>
        </w:rPr>
        <w:lastRenderedPageBreak/>
        <w:t>Executive Summary</w:t>
      </w:r>
    </w:p>
    <w:p w:rsidR="00A204C8" w:rsidRPr="00A204C8" w:rsidRDefault="00A204C8" w:rsidP="00F910A0">
      <w:pPr>
        <w:pStyle w:val="ListParagraph"/>
        <w:numPr>
          <w:ilvl w:val="0"/>
          <w:numId w:val="34"/>
        </w:numPr>
        <w:tabs>
          <w:tab w:val="left" w:pos="1325"/>
        </w:tabs>
        <w:spacing w:before="120" w:after="120"/>
        <w:ind w:left="360"/>
        <w:jc w:val="both"/>
        <w:rPr>
          <w:b/>
        </w:rPr>
      </w:pPr>
      <w:r w:rsidRPr="00A204C8">
        <w:rPr>
          <w:b/>
        </w:rPr>
        <w:t>Introduction</w:t>
      </w:r>
    </w:p>
    <w:p w:rsidR="00F910A0" w:rsidRPr="00FA7A76" w:rsidRDefault="004C0861" w:rsidP="00F910A0">
      <w:pPr>
        <w:spacing w:before="120" w:after="120"/>
        <w:ind w:firstLine="720"/>
        <w:jc w:val="both"/>
      </w:pPr>
      <w:r>
        <w:t>W</w:t>
      </w:r>
      <w:r w:rsidR="001601FD" w:rsidRPr="00FA7A76">
        <w:t xml:space="preserve">ith </w:t>
      </w:r>
      <w:r w:rsidR="00FA7A76" w:rsidRPr="00FA7A76">
        <w:t xml:space="preserve">fund provided by </w:t>
      </w:r>
      <w:r w:rsidR="00E77212" w:rsidRPr="00FA7A76">
        <w:t xml:space="preserve">US </w:t>
      </w:r>
      <w:r w:rsidR="00B775AB" w:rsidRPr="00FA7A76">
        <w:t>G</w:t>
      </w:r>
      <w:r w:rsidR="00E77212" w:rsidRPr="00FA7A76">
        <w:t xml:space="preserve">overnment </w:t>
      </w:r>
      <w:r w:rsidR="00E037EA" w:rsidRPr="00FA7A76">
        <w:t>worth US$ 2,109,000</w:t>
      </w:r>
      <w:r w:rsidR="003A7522" w:rsidRPr="00FA7A76">
        <w:t>,</w:t>
      </w:r>
      <w:r w:rsidR="00E77212" w:rsidRPr="00FA7A76">
        <w:t xml:space="preserve"> </w:t>
      </w:r>
      <w:r w:rsidR="00B15409">
        <w:t>Pact</w:t>
      </w:r>
      <w:r w:rsidR="00B15409" w:rsidRPr="00FA7A76">
        <w:t xml:space="preserve"> </w:t>
      </w:r>
      <w:r w:rsidR="00B775AB" w:rsidRPr="00FA7A76">
        <w:t>carr</w:t>
      </w:r>
      <w:r w:rsidR="003A7522" w:rsidRPr="00FA7A76">
        <w:t>ie</w:t>
      </w:r>
      <w:r w:rsidR="00C24565" w:rsidRPr="00FA7A76">
        <w:t>s</w:t>
      </w:r>
      <w:r w:rsidR="00B775AB" w:rsidRPr="00FA7A76">
        <w:t xml:space="preserve"> out</w:t>
      </w:r>
      <w:r w:rsidR="00E77212" w:rsidRPr="00FA7A76">
        <w:t xml:space="preserve"> the “Self-Reliance Groups Access to Microfinance’s Wholesale Loan” program</w:t>
      </w:r>
      <w:r w:rsidR="003A7522" w:rsidRPr="00FA7A76">
        <w:t>.</w:t>
      </w:r>
      <w:r w:rsidR="00447B37" w:rsidRPr="00FA7A76">
        <w:t xml:space="preserve"> </w:t>
      </w:r>
      <w:r w:rsidR="003A7522" w:rsidRPr="00FA7A76">
        <w:t>The program</w:t>
      </w:r>
      <w:r w:rsidR="00447B37" w:rsidRPr="00FA7A76">
        <w:t xml:space="preserve"> aim</w:t>
      </w:r>
      <w:r w:rsidR="00C24565" w:rsidRPr="00FA7A76">
        <w:t>s</w:t>
      </w:r>
      <w:r w:rsidR="00A84A27" w:rsidRPr="00FA7A76">
        <w:t xml:space="preserve"> to</w:t>
      </w:r>
      <w:r w:rsidR="00E77212" w:rsidRPr="00FA7A76">
        <w:t xml:space="preserve"> provid</w:t>
      </w:r>
      <w:r w:rsidR="00A84A27" w:rsidRPr="00FA7A76">
        <w:t>e</w:t>
      </w:r>
      <w:r w:rsidR="00E77212" w:rsidRPr="00FA7A76">
        <w:t xml:space="preserve"> </w:t>
      </w:r>
      <w:r w:rsidR="00B775AB" w:rsidRPr="00FA7A76">
        <w:t>w</w:t>
      </w:r>
      <w:r w:rsidR="00E77212" w:rsidRPr="00FA7A76">
        <w:t xml:space="preserve">holesale loans to 500 </w:t>
      </w:r>
      <w:r w:rsidR="00D80559" w:rsidRPr="00FA7A76">
        <w:t>Self-Reliance Groups (</w:t>
      </w:r>
      <w:r w:rsidR="00E77212" w:rsidRPr="00FA7A76">
        <w:t>SRGs</w:t>
      </w:r>
      <w:r w:rsidR="00D80559" w:rsidRPr="00FA7A76">
        <w:t>)</w:t>
      </w:r>
      <w:r w:rsidR="00E77212" w:rsidRPr="00FA7A76">
        <w:t xml:space="preserve"> </w:t>
      </w:r>
      <w:r w:rsidR="00B775AB" w:rsidRPr="00FA7A76">
        <w:t xml:space="preserve">over a period of two years </w:t>
      </w:r>
      <w:r w:rsidR="00E77212" w:rsidRPr="00FA7A76">
        <w:t xml:space="preserve">in three townships – </w:t>
      </w:r>
      <w:proofErr w:type="spellStart"/>
      <w:r w:rsidR="00E77212" w:rsidRPr="00FA7A76">
        <w:t>Bogalay</w:t>
      </w:r>
      <w:proofErr w:type="spellEnd"/>
      <w:r w:rsidR="00E77212" w:rsidRPr="00FA7A76">
        <w:t xml:space="preserve">, </w:t>
      </w:r>
      <w:proofErr w:type="spellStart"/>
      <w:r w:rsidR="00E77212" w:rsidRPr="00FA7A76">
        <w:t>Mawgyun</w:t>
      </w:r>
      <w:proofErr w:type="spellEnd"/>
      <w:r w:rsidR="00E77212" w:rsidRPr="00FA7A76">
        <w:t xml:space="preserve"> and </w:t>
      </w:r>
      <w:proofErr w:type="spellStart"/>
      <w:r w:rsidR="00E77212" w:rsidRPr="00FA7A76">
        <w:t>Laputta</w:t>
      </w:r>
      <w:proofErr w:type="spellEnd"/>
      <w:r w:rsidR="00E77212" w:rsidRPr="00FA7A76">
        <w:t xml:space="preserve"> – </w:t>
      </w:r>
      <w:r w:rsidR="00B775AB" w:rsidRPr="00FA7A76">
        <w:t>in</w:t>
      </w:r>
      <w:r w:rsidR="00E77212" w:rsidRPr="00FA7A76">
        <w:t xml:space="preserve"> the Delta </w:t>
      </w:r>
      <w:r w:rsidR="007F2E6C" w:rsidRPr="00FA7A76">
        <w:t xml:space="preserve">Zone </w:t>
      </w:r>
      <w:r w:rsidR="00B775AB" w:rsidRPr="00FA7A76">
        <w:t>in Myanmar</w:t>
      </w:r>
      <w:r w:rsidR="00E77212" w:rsidRPr="00FA7A76">
        <w:t>.</w:t>
      </w:r>
    </w:p>
    <w:p w:rsidR="00447B37" w:rsidRPr="00565F49" w:rsidRDefault="00E77212" w:rsidP="00767557">
      <w:pPr>
        <w:spacing w:before="120" w:after="120"/>
        <w:ind w:firstLine="720"/>
        <w:jc w:val="both"/>
      </w:pPr>
      <w:r w:rsidRPr="00565F49">
        <w:t>SRGs were initially introduced into</w:t>
      </w:r>
      <w:r w:rsidR="00D80559" w:rsidRPr="00565F49">
        <w:t xml:space="preserve"> the</w:t>
      </w:r>
      <w:r w:rsidRPr="00565F49">
        <w:t xml:space="preserve"> HDI</w:t>
      </w:r>
      <w:r w:rsidRPr="00565F49">
        <w:rPr>
          <w:rStyle w:val="FootnoteReference"/>
        </w:rPr>
        <w:footnoteReference w:id="1"/>
      </w:r>
      <w:r w:rsidRPr="00565F49">
        <w:t xml:space="preserve"> through</w:t>
      </w:r>
      <w:r w:rsidR="00D80559" w:rsidRPr="00565F49">
        <w:t xml:space="preserve"> a</w:t>
      </w:r>
      <w:r w:rsidRPr="00565F49">
        <w:t xml:space="preserve"> CDRT</w:t>
      </w:r>
      <w:r w:rsidRPr="00565F49">
        <w:rPr>
          <w:rStyle w:val="FootnoteReference"/>
        </w:rPr>
        <w:footnoteReference w:id="2"/>
      </w:r>
      <w:r w:rsidRPr="00565F49">
        <w:t xml:space="preserve"> project in 1997 and</w:t>
      </w:r>
      <w:r w:rsidR="00D80559" w:rsidRPr="00565F49">
        <w:t xml:space="preserve"> an</w:t>
      </w:r>
      <w:r w:rsidRPr="00565F49">
        <w:t xml:space="preserve"> ICDP</w:t>
      </w:r>
      <w:r w:rsidRPr="00565F49">
        <w:rPr>
          <w:rStyle w:val="FootnoteReference"/>
        </w:rPr>
        <w:footnoteReference w:id="3"/>
      </w:r>
      <w:r w:rsidRPr="00565F49">
        <w:t xml:space="preserve"> </w:t>
      </w:r>
      <w:r w:rsidR="00C24565" w:rsidRPr="00565F49">
        <w:t xml:space="preserve">project </w:t>
      </w:r>
      <w:r w:rsidRPr="00565F49">
        <w:t>in 2003.</w:t>
      </w:r>
      <w:r w:rsidRPr="00FA7A76">
        <w:rPr>
          <w:color w:val="FF0000"/>
        </w:rPr>
        <w:t xml:space="preserve"> </w:t>
      </w:r>
      <w:r w:rsidRPr="00565F49">
        <w:t>The</w:t>
      </w:r>
      <w:r w:rsidR="00D80559" w:rsidRPr="00565F49">
        <w:t xml:space="preserve"> most</w:t>
      </w:r>
      <w:r w:rsidRPr="00565F49">
        <w:t xml:space="preserve"> common reason for</w:t>
      </w:r>
      <w:r w:rsidR="00D80559" w:rsidRPr="00565F49">
        <w:t xml:space="preserve"> community</w:t>
      </w:r>
      <w:r w:rsidRPr="00565F49">
        <w:t xml:space="preserve"> members to participate in</w:t>
      </w:r>
      <w:r w:rsidR="00D80559" w:rsidRPr="00565F49">
        <w:t xml:space="preserve"> an</w:t>
      </w:r>
      <w:r w:rsidRPr="00565F49">
        <w:t xml:space="preserve"> SRG </w:t>
      </w:r>
      <w:r w:rsidR="00416F10">
        <w:t>is</w:t>
      </w:r>
      <w:r w:rsidRPr="00565F49">
        <w:t xml:space="preserve"> access to credit at a relatively low interest rate under flexible rules and regulations. With </w:t>
      </w:r>
      <w:r w:rsidR="00D80559" w:rsidRPr="00565F49">
        <w:t xml:space="preserve">an </w:t>
      </w:r>
      <w:r w:rsidR="00C24738" w:rsidRPr="00565F49">
        <w:t>easy and affordable</w:t>
      </w:r>
      <w:r w:rsidRPr="00565F49">
        <w:t xml:space="preserve"> lending plan, SRG</w:t>
      </w:r>
      <w:r w:rsidR="00D80559" w:rsidRPr="00565F49">
        <w:t>s</w:t>
      </w:r>
      <w:r w:rsidRPr="00565F49">
        <w:t xml:space="preserve"> stand out as an attractive option for accessing credit. SRGs</w:t>
      </w:r>
      <w:r w:rsidR="001601FD" w:rsidRPr="00565F49">
        <w:t xml:space="preserve"> work by</w:t>
      </w:r>
      <w:r w:rsidRPr="00565F49">
        <w:t xml:space="preserve"> creat</w:t>
      </w:r>
      <w:r w:rsidR="001601FD" w:rsidRPr="00565F49">
        <w:t>ing</w:t>
      </w:r>
      <w:r w:rsidRPr="00565F49">
        <w:t xml:space="preserve"> a </w:t>
      </w:r>
      <w:r w:rsidR="000B47F5" w:rsidRPr="00565F49">
        <w:t xml:space="preserve">revolving </w:t>
      </w:r>
      <w:r w:rsidRPr="00565F49">
        <w:t>common fund</w:t>
      </w:r>
      <w:r w:rsidR="00E110F7">
        <w:t xml:space="preserve"> are</w:t>
      </w:r>
      <w:r w:rsidRPr="00565F49">
        <w:t xml:space="preserve"> </w:t>
      </w:r>
      <w:r w:rsidR="001601FD" w:rsidRPr="00565F49">
        <w:t xml:space="preserve">composed of </w:t>
      </w:r>
      <w:r w:rsidRPr="00565F49">
        <w:t xml:space="preserve">their </w:t>
      </w:r>
      <w:r w:rsidR="001601FD" w:rsidRPr="00565F49">
        <w:t>members</w:t>
      </w:r>
      <w:r w:rsidR="00C47D8B" w:rsidRPr="00565F49">
        <w:t>’</w:t>
      </w:r>
      <w:r w:rsidR="001601FD" w:rsidRPr="00565F49">
        <w:t xml:space="preserve"> </w:t>
      </w:r>
      <w:r w:rsidRPr="00565F49">
        <w:t xml:space="preserve">savings, </w:t>
      </w:r>
      <w:r w:rsidR="001601FD" w:rsidRPr="00565F49">
        <w:t xml:space="preserve">equity </w:t>
      </w:r>
      <w:r w:rsidRPr="00565F49">
        <w:t>provided by UNDP</w:t>
      </w:r>
      <w:r w:rsidR="001601FD" w:rsidRPr="00565F49">
        <w:t>,</w:t>
      </w:r>
      <w:r w:rsidRPr="00565F49">
        <w:t xml:space="preserve"> and </w:t>
      </w:r>
      <w:r w:rsidR="001601FD" w:rsidRPr="00565F49">
        <w:t xml:space="preserve">interest </w:t>
      </w:r>
      <w:r w:rsidRPr="00565F49">
        <w:t>income generated through lending to its members. However,</w:t>
      </w:r>
      <w:r w:rsidRPr="00FA7A76">
        <w:rPr>
          <w:color w:val="FF0000"/>
        </w:rPr>
        <w:t xml:space="preserve"> </w:t>
      </w:r>
      <w:r w:rsidR="001601FD" w:rsidRPr="00565F49">
        <w:t>over</w:t>
      </w:r>
      <w:r w:rsidR="00C47D8B" w:rsidRPr="00565F49">
        <w:t xml:space="preserve"> </w:t>
      </w:r>
      <w:r w:rsidR="001601FD" w:rsidRPr="00565F49">
        <w:t xml:space="preserve">time </w:t>
      </w:r>
      <w:r w:rsidRPr="00565F49">
        <w:t xml:space="preserve">the common fund </w:t>
      </w:r>
      <w:r w:rsidR="00C47D8B" w:rsidRPr="00565F49">
        <w:t>is generally</w:t>
      </w:r>
      <w:r w:rsidRPr="00565F49">
        <w:t xml:space="preserve"> insufficient to meet the capital requirements of the members as their businesses </w:t>
      </w:r>
      <w:r w:rsidR="001601FD" w:rsidRPr="00565F49">
        <w:t xml:space="preserve">continue to </w:t>
      </w:r>
      <w:r w:rsidR="000B47F5" w:rsidRPr="00565F49">
        <w:t>grow</w:t>
      </w:r>
      <w:r w:rsidR="00565F49" w:rsidRPr="00565F49">
        <w:t>.</w:t>
      </w:r>
      <w:r w:rsidR="000B47F5" w:rsidRPr="00565F49">
        <w:t xml:space="preserve"> </w:t>
      </w:r>
      <w:r w:rsidR="003A7522" w:rsidRPr="00565F49">
        <w:t xml:space="preserve">Therefore, </w:t>
      </w:r>
      <w:r w:rsidR="00861F38" w:rsidRPr="00565F49">
        <w:t>UNDP</w:t>
      </w:r>
      <w:r w:rsidRPr="00565F49">
        <w:t xml:space="preserve">’s ICDP and </w:t>
      </w:r>
      <w:r w:rsidR="00DC0119" w:rsidRPr="00565F49">
        <w:t>PACT</w:t>
      </w:r>
      <w:r w:rsidRPr="00565F49">
        <w:t xml:space="preserve"> jointly initiated the “Self-Reliance Groups Access to Microfinance’s Wholesale Loan” program</w:t>
      </w:r>
      <w:r w:rsidR="00BF466D" w:rsidRPr="00565F49">
        <w:t xml:space="preserve"> to address </w:t>
      </w:r>
      <w:r w:rsidR="00E318CF" w:rsidRPr="00565F49">
        <w:t>this</w:t>
      </w:r>
      <w:r w:rsidRPr="00565F49">
        <w:t xml:space="preserve"> </w:t>
      </w:r>
      <w:r w:rsidR="00BF466D" w:rsidRPr="00565F49">
        <w:t xml:space="preserve">need for </w:t>
      </w:r>
      <w:r w:rsidR="001601FD" w:rsidRPr="00565F49">
        <w:t xml:space="preserve">enhanced </w:t>
      </w:r>
      <w:r w:rsidRPr="00565F49">
        <w:t>capital.</w:t>
      </w:r>
    </w:p>
    <w:p w:rsidR="00E27F1C" w:rsidRPr="00CB02C5" w:rsidRDefault="00CB02C5" w:rsidP="00767557">
      <w:pPr>
        <w:spacing w:before="120" w:after="120"/>
        <w:ind w:firstLine="720"/>
        <w:jc w:val="both"/>
      </w:pPr>
      <w:r w:rsidRPr="00CB02C5">
        <w:t xml:space="preserve">Country office of </w:t>
      </w:r>
      <w:r w:rsidR="00861F38" w:rsidRPr="00CB02C5">
        <w:t>UNDP</w:t>
      </w:r>
      <w:r w:rsidR="00E77212" w:rsidRPr="00CB02C5">
        <w:t xml:space="preserve"> </w:t>
      </w:r>
      <w:r w:rsidR="007F2E6C" w:rsidRPr="00CB02C5">
        <w:t>Myanmar</w:t>
      </w:r>
      <w:r w:rsidR="003468FF" w:rsidRPr="00CB02C5">
        <w:t>, using funds</w:t>
      </w:r>
      <w:r w:rsidR="007F2E6C" w:rsidRPr="00CB02C5">
        <w:t xml:space="preserve"> received from USAID</w:t>
      </w:r>
      <w:r w:rsidRPr="00CB02C5">
        <w:t>,</w:t>
      </w:r>
      <w:r w:rsidR="007F2E6C" w:rsidRPr="00CB02C5">
        <w:t xml:space="preserve"> initiated</w:t>
      </w:r>
      <w:r w:rsidR="003468FF" w:rsidRPr="00CB02C5">
        <w:t xml:space="preserve"> the pro</w:t>
      </w:r>
      <w:r w:rsidR="003F5103" w:rsidRPr="00CB02C5">
        <w:t>gram</w:t>
      </w:r>
      <w:r w:rsidR="007F2E6C" w:rsidRPr="00CB02C5">
        <w:t xml:space="preserve"> in</w:t>
      </w:r>
      <w:r w:rsidR="00E77212" w:rsidRPr="00CB02C5">
        <w:t xml:space="preserve"> </w:t>
      </w:r>
      <w:r w:rsidR="007F2E6C" w:rsidRPr="00CB02C5">
        <w:t>S</w:t>
      </w:r>
      <w:r w:rsidR="00E77212" w:rsidRPr="00CB02C5">
        <w:t>eptember 2011</w:t>
      </w:r>
      <w:r w:rsidR="00297DCB" w:rsidRPr="00CB02C5">
        <w:t xml:space="preserve"> and</w:t>
      </w:r>
      <w:r w:rsidR="003468FF" w:rsidRPr="00CB02C5">
        <w:t xml:space="preserve"> </w:t>
      </w:r>
      <w:r w:rsidR="003F5103" w:rsidRPr="00CB02C5">
        <w:t>proceeded to full implementation</w:t>
      </w:r>
      <w:r w:rsidR="003468FF" w:rsidRPr="00CB02C5">
        <w:t xml:space="preserve"> by </w:t>
      </w:r>
      <w:r w:rsidR="00297DCB" w:rsidRPr="00CB02C5">
        <w:t>January 2012</w:t>
      </w:r>
      <w:r w:rsidR="007F2E6C" w:rsidRPr="00CB02C5">
        <w:t xml:space="preserve">. The program targeted </w:t>
      </w:r>
      <w:r w:rsidR="00C47D8B" w:rsidRPr="00CB02C5">
        <w:t>provision of</w:t>
      </w:r>
      <w:r w:rsidR="00E77212" w:rsidRPr="00CB02C5">
        <w:t xml:space="preserve"> wholesale loans to 500 SRGs </w:t>
      </w:r>
      <w:r w:rsidR="007F2E6C" w:rsidRPr="00CB02C5">
        <w:t xml:space="preserve">by September 2013 </w:t>
      </w:r>
      <w:r w:rsidR="00E77212" w:rsidRPr="00CB02C5">
        <w:t xml:space="preserve">in three townships – </w:t>
      </w:r>
      <w:proofErr w:type="spellStart"/>
      <w:r w:rsidR="00E77212" w:rsidRPr="00CB02C5">
        <w:t>Bogale</w:t>
      </w:r>
      <w:proofErr w:type="spellEnd"/>
      <w:r w:rsidR="00E77212" w:rsidRPr="00CB02C5">
        <w:t xml:space="preserve">, </w:t>
      </w:r>
      <w:proofErr w:type="spellStart"/>
      <w:r w:rsidR="00E77212" w:rsidRPr="00CB02C5">
        <w:t>Mawgyun</w:t>
      </w:r>
      <w:proofErr w:type="spellEnd"/>
      <w:r w:rsidR="00E77212" w:rsidRPr="00CB02C5">
        <w:t xml:space="preserve"> and </w:t>
      </w:r>
      <w:proofErr w:type="spellStart"/>
      <w:r w:rsidR="00E77212" w:rsidRPr="00CB02C5">
        <w:t>Labutta</w:t>
      </w:r>
      <w:proofErr w:type="spellEnd"/>
      <w:r w:rsidR="00E77212" w:rsidRPr="00CB02C5">
        <w:t xml:space="preserve"> – </w:t>
      </w:r>
      <w:r w:rsidR="007F2E6C" w:rsidRPr="00CB02C5">
        <w:t>in</w:t>
      </w:r>
      <w:r w:rsidR="00E77212" w:rsidRPr="00CB02C5">
        <w:t xml:space="preserve"> the Delta Zone. </w:t>
      </w:r>
      <w:r w:rsidR="00297DCB" w:rsidRPr="00CB02C5">
        <w:t>T</w:t>
      </w:r>
      <w:r w:rsidR="00E77212" w:rsidRPr="00CB02C5">
        <w:t>he activities involved in implementing the SRG-M</w:t>
      </w:r>
      <w:r w:rsidR="003F5103" w:rsidRPr="00CB02C5">
        <w:t>icrofinance (MF)</w:t>
      </w:r>
      <w:r w:rsidR="00E77212" w:rsidRPr="00CB02C5">
        <w:t xml:space="preserve"> linkage program were: </w:t>
      </w:r>
    </w:p>
    <w:p w:rsidR="00E27F1C" w:rsidRPr="00CB02C5" w:rsidRDefault="00E77212" w:rsidP="00767557">
      <w:pPr>
        <w:spacing w:before="120" w:after="120"/>
        <w:ind w:firstLine="720"/>
        <w:jc w:val="both"/>
      </w:pPr>
      <w:r w:rsidRPr="00CB02C5">
        <w:t>a) Sensitiz</w:t>
      </w:r>
      <w:r w:rsidR="00297DCB" w:rsidRPr="00CB02C5">
        <w:t xml:space="preserve">ing </w:t>
      </w:r>
      <w:r w:rsidRPr="00CB02C5">
        <w:t>SRGs on SRG-MF linkages and wholesale loans</w:t>
      </w:r>
      <w:r w:rsidR="00C47D8B" w:rsidRPr="00CB02C5">
        <w:t xml:space="preserve"> (ICDP)</w:t>
      </w:r>
      <w:r w:rsidRPr="00CB02C5">
        <w:t>,</w:t>
      </w:r>
    </w:p>
    <w:p w:rsidR="00E27F1C" w:rsidRPr="00CB02C5" w:rsidRDefault="00E77212" w:rsidP="00767557">
      <w:pPr>
        <w:spacing w:before="120" w:after="120"/>
        <w:ind w:firstLine="720"/>
        <w:jc w:val="both"/>
      </w:pPr>
      <w:r w:rsidRPr="00CB02C5">
        <w:t>b) Performing Capacity Assessments of the SRGs</w:t>
      </w:r>
      <w:r w:rsidR="00C47D8B" w:rsidRPr="00CB02C5">
        <w:t xml:space="preserve"> (ICDP)</w:t>
      </w:r>
      <w:r w:rsidRPr="00CB02C5">
        <w:t>,</w:t>
      </w:r>
    </w:p>
    <w:p w:rsidR="00E27F1C" w:rsidRPr="00CB02C5" w:rsidRDefault="00E77212" w:rsidP="00767557">
      <w:pPr>
        <w:spacing w:before="120" w:after="120"/>
        <w:ind w:firstLine="720"/>
        <w:jc w:val="both"/>
      </w:pPr>
      <w:r w:rsidRPr="00CB02C5">
        <w:t xml:space="preserve">c) Providing Capacity Building training to </w:t>
      </w:r>
      <w:r w:rsidR="00447B37" w:rsidRPr="00CB02C5">
        <w:t xml:space="preserve">the </w:t>
      </w:r>
      <w:r w:rsidRPr="00CB02C5">
        <w:t>viable SRGs</w:t>
      </w:r>
      <w:r w:rsidR="00C47D8B" w:rsidRPr="00CB02C5">
        <w:t xml:space="preserve"> (ICDP)</w:t>
      </w:r>
      <w:r w:rsidRPr="00CB02C5">
        <w:t>,</w:t>
      </w:r>
    </w:p>
    <w:p w:rsidR="00E27F1C" w:rsidRPr="00CB02C5" w:rsidRDefault="00E77212" w:rsidP="00767557">
      <w:pPr>
        <w:spacing w:before="120" w:after="120"/>
        <w:ind w:firstLine="720"/>
        <w:jc w:val="both"/>
      </w:pPr>
      <w:r w:rsidRPr="00CB02C5">
        <w:t xml:space="preserve">d) Collecting loan proposals and </w:t>
      </w:r>
      <w:r w:rsidR="003F5103" w:rsidRPr="00CB02C5">
        <w:t xml:space="preserve">loan </w:t>
      </w:r>
      <w:r w:rsidRPr="00CB02C5">
        <w:t>processing</w:t>
      </w:r>
      <w:r w:rsidR="00C47D8B" w:rsidRPr="00CB02C5">
        <w:t xml:space="preserve"> (Pact)</w:t>
      </w:r>
      <w:r w:rsidRPr="00CB02C5">
        <w:t xml:space="preserve">, </w:t>
      </w:r>
    </w:p>
    <w:p w:rsidR="00E27F1C" w:rsidRPr="00CB02C5" w:rsidRDefault="00E77212" w:rsidP="00767557">
      <w:pPr>
        <w:spacing w:before="120" w:after="120"/>
        <w:ind w:firstLine="720"/>
        <w:jc w:val="both"/>
      </w:pPr>
      <w:r w:rsidRPr="00CB02C5">
        <w:t>e) Loan delivery</w:t>
      </w:r>
      <w:r w:rsidR="00C47D8B" w:rsidRPr="00CB02C5">
        <w:t xml:space="preserve"> (Pact)</w:t>
      </w:r>
      <w:r w:rsidRPr="00CB02C5">
        <w:t xml:space="preserve">, and </w:t>
      </w:r>
    </w:p>
    <w:p w:rsidR="00447B37" w:rsidRDefault="00E77212" w:rsidP="00767557">
      <w:pPr>
        <w:spacing w:before="120" w:after="120"/>
        <w:ind w:firstLine="720"/>
        <w:jc w:val="both"/>
      </w:pPr>
      <w:r w:rsidRPr="00CB02C5">
        <w:t>f) Collection of repayment and monitoring</w:t>
      </w:r>
      <w:r w:rsidR="00C47D8B" w:rsidRPr="00CB02C5">
        <w:t xml:space="preserve"> of financed activities (Pact)</w:t>
      </w:r>
      <w:r w:rsidRPr="00CB02C5">
        <w:t>.</w:t>
      </w:r>
      <w:r w:rsidR="00297DCB" w:rsidRPr="00CB02C5">
        <w:t xml:space="preserve"> </w:t>
      </w:r>
    </w:p>
    <w:p w:rsidR="00F910A0" w:rsidRPr="00CB02C5" w:rsidRDefault="00F910A0" w:rsidP="00767557">
      <w:pPr>
        <w:spacing w:before="120" w:after="120"/>
        <w:ind w:firstLine="720"/>
        <w:jc w:val="both"/>
      </w:pPr>
    </w:p>
    <w:p w:rsidR="00447B37" w:rsidRPr="00CC3D9D" w:rsidRDefault="00E77212" w:rsidP="00F910A0">
      <w:pPr>
        <w:pStyle w:val="ListParagraph"/>
        <w:numPr>
          <w:ilvl w:val="0"/>
          <w:numId w:val="34"/>
        </w:numPr>
        <w:tabs>
          <w:tab w:val="left" w:pos="1325"/>
        </w:tabs>
        <w:spacing w:before="120" w:after="120"/>
        <w:ind w:left="360"/>
        <w:jc w:val="both"/>
        <w:rPr>
          <w:b/>
        </w:rPr>
      </w:pPr>
      <w:r w:rsidRPr="00CB02C5">
        <w:rPr>
          <w:b/>
        </w:rPr>
        <w:t>Achievements</w:t>
      </w:r>
    </w:p>
    <w:p w:rsidR="006D2376" w:rsidRPr="00CB02C5" w:rsidRDefault="006D2376" w:rsidP="00767557">
      <w:pPr>
        <w:spacing w:before="120" w:after="120"/>
        <w:ind w:firstLine="720"/>
        <w:jc w:val="both"/>
      </w:pPr>
      <w:r w:rsidRPr="00CB02C5">
        <w:t>The program achieved considerable amount of success as of the reporting period. Some key accomplishments include:</w:t>
      </w:r>
    </w:p>
    <w:p w:rsidR="00284222" w:rsidRDefault="00284222" w:rsidP="00767557">
      <w:pPr>
        <w:pStyle w:val="ListParagraph"/>
        <w:numPr>
          <w:ilvl w:val="0"/>
          <w:numId w:val="12"/>
        </w:numPr>
        <w:spacing w:before="120" w:after="120"/>
        <w:jc w:val="both"/>
      </w:pPr>
      <w:r>
        <w:t xml:space="preserve">As of September 2013, the project has reached </w:t>
      </w:r>
      <w:r w:rsidRPr="00773428">
        <w:t>342</w:t>
      </w:r>
      <w:r>
        <w:t xml:space="preserve"> SRGs to provide with wholesale loan.</w:t>
      </w:r>
    </w:p>
    <w:p w:rsidR="007F4FC6" w:rsidRPr="00693075" w:rsidRDefault="00630589" w:rsidP="00767557">
      <w:pPr>
        <w:pStyle w:val="ListParagraph"/>
        <w:numPr>
          <w:ilvl w:val="0"/>
          <w:numId w:val="12"/>
        </w:numPr>
        <w:spacing w:before="120" w:after="120"/>
        <w:jc w:val="both"/>
      </w:pPr>
      <w:r w:rsidRPr="001D5227">
        <w:t xml:space="preserve">Disbursement of </w:t>
      </w:r>
      <w:r w:rsidR="006A37ED" w:rsidRPr="001D5227">
        <w:t>w</w:t>
      </w:r>
      <w:r w:rsidRPr="001D5227">
        <w:t xml:space="preserve">holesale loans worth </w:t>
      </w:r>
      <w:r w:rsidR="001D5227">
        <w:t>154.</w:t>
      </w:r>
      <w:r w:rsidR="001D5227" w:rsidRPr="001D5227">
        <w:t>8</w:t>
      </w:r>
      <w:r w:rsidRPr="001D5227">
        <w:t xml:space="preserve"> million</w:t>
      </w:r>
      <w:r w:rsidR="006A37ED" w:rsidRPr="001D5227">
        <w:t xml:space="preserve"> </w:t>
      </w:r>
      <w:r w:rsidR="00096272" w:rsidRPr="001D5227">
        <w:t>K</w:t>
      </w:r>
      <w:r w:rsidR="006A37ED" w:rsidRPr="001D5227">
        <w:t>yats</w:t>
      </w:r>
      <w:r w:rsidRPr="001D5227">
        <w:t xml:space="preserve"> (</w:t>
      </w:r>
      <w:r w:rsidR="008F64CF" w:rsidRPr="001D5227">
        <w:t>$</w:t>
      </w:r>
      <w:r w:rsidR="007F4FC6" w:rsidRPr="001D5227">
        <w:t>1</w:t>
      </w:r>
      <w:r w:rsidR="004213F1" w:rsidRPr="001D5227">
        <w:t>59,</w:t>
      </w:r>
      <w:r w:rsidR="007A437E">
        <w:t>639</w:t>
      </w:r>
      <w:r w:rsidR="00E110F7">
        <w:rPr>
          <w:rStyle w:val="FootnoteReference"/>
        </w:rPr>
        <w:footnoteReference w:id="4"/>
      </w:r>
      <w:r w:rsidR="008F64CF" w:rsidRPr="001D5227">
        <w:t xml:space="preserve">) to </w:t>
      </w:r>
      <w:r w:rsidR="001D5227" w:rsidRPr="001D5227">
        <w:t>93</w:t>
      </w:r>
      <w:r w:rsidR="007F4FC6" w:rsidRPr="001D5227">
        <w:t xml:space="preserve"> SRGs </w:t>
      </w:r>
      <w:r w:rsidR="000C7529">
        <w:t>during</w:t>
      </w:r>
      <w:r w:rsidR="006A37ED" w:rsidRPr="001D5227">
        <w:t xml:space="preserve"> the </w:t>
      </w:r>
      <w:r w:rsidR="001D5227" w:rsidRPr="001D5227">
        <w:t>4</w:t>
      </w:r>
      <w:r w:rsidR="001D5227" w:rsidRPr="001D5227">
        <w:rPr>
          <w:vertAlign w:val="superscript"/>
        </w:rPr>
        <w:t>th</w:t>
      </w:r>
      <w:r w:rsidR="001D5227" w:rsidRPr="001D5227">
        <w:t xml:space="preserve"> quarter</w:t>
      </w:r>
      <w:r w:rsidR="008F64CF" w:rsidRPr="001D5227">
        <w:t xml:space="preserve"> of </w:t>
      </w:r>
      <w:r w:rsidR="001D5227" w:rsidRPr="001D5227">
        <w:t>FY2013 (July-Sep</w:t>
      </w:r>
      <w:r w:rsidR="00416F10">
        <w:t>tember</w:t>
      </w:r>
      <w:r w:rsidR="00525707" w:rsidRPr="001D5227">
        <w:t>)</w:t>
      </w:r>
      <w:r w:rsidRPr="001D5227">
        <w:t>. Among those,</w:t>
      </w:r>
      <w:r w:rsidR="007F4FC6" w:rsidRPr="001D5227">
        <w:t xml:space="preserve"> </w:t>
      </w:r>
      <w:r w:rsidR="008F721C" w:rsidRPr="008F721C">
        <w:t>36</w:t>
      </w:r>
      <w:r w:rsidR="007F4FC6" w:rsidRPr="008F721C">
        <w:t xml:space="preserve"> SRGs received fi</w:t>
      </w:r>
      <w:r w:rsidR="00181C63" w:rsidRPr="008F721C">
        <w:t>rst</w:t>
      </w:r>
      <w:r w:rsidR="006A37ED" w:rsidRPr="008F721C">
        <w:t>-</w:t>
      </w:r>
      <w:r w:rsidR="00181C63" w:rsidRPr="008F721C">
        <w:t>cycle loans amount</w:t>
      </w:r>
      <w:r w:rsidR="006A37ED" w:rsidRPr="008F721C">
        <w:t>ing</w:t>
      </w:r>
      <w:r w:rsidR="00181C63" w:rsidRPr="008F721C">
        <w:t xml:space="preserve"> to </w:t>
      </w:r>
      <w:r w:rsidR="008F721C">
        <w:t>3</w:t>
      </w:r>
      <w:r w:rsidR="00181C63" w:rsidRPr="008F721C">
        <w:t>2</w:t>
      </w:r>
      <w:r w:rsidR="008F721C">
        <w:t>.8</w:t>
      </w:r>
      <w:r w:rsidR="007F4FC6" w:rsidRPr="008F721C">
        <w:t xml:space="preserve"> million Kyats</w:t>
      </w:r>
      <w:r w:rsidR="006A37ED" w:rsidRPr="008F721C">
        <w:t>;</w:t>
      </w:r>
      <w:r w:rsidR="007F4FC6" w:rsidRPr="008F721C">
        <w:t xml:space="preserve"> </w:t>
      </w:r>
      <w:r w:rsidR="007F4FC6" w:rsidRPr="00705C2A">
        <w:t>4</w:t>
      </w:r>
      <w:r w:rsidR="00705C2A" w:rsidRPr="00705C2A">
        <w:t>0</w:t>
      </w:r>
      <w:r w:rsidR="007F4FC6" w:rsidRPr="00705C2A">
        <w:t xml:space="preserve"> SRGs received second cycle loans amount</w:t>
      </w:r>
      <w:r w:rsidR="006A37ED" w:rsidRPr="00705C2A">
        <w:t>ing</w:t>
      </w:r>
      <w:r w:rsidR="007F4FC6" w:rsidRPr="00705C2A">
        <w:t xml:space="preserve"> to </w:t>
      </w:r>
      <w:r w:rsidR="00705C2A" w:rsidRPr="00705C2A">
        <w:t>70</w:t>
      </w:r>
      <w:r w:rsidR="007F4FC6" w:rsidRPr="00705C2A">
        <w:t xml:space="preserve"> million Kyats</w:t>
      </w:r>
      <w:r w:rsidR="006A37ED" w:rsidRPr="00705C2A">
        <w:t>;</w:t>
      </w:r>
      <w:r w:rsidR="007F4FC6" w:rsidRPr="00705C2A">
        <w:t xml:space="preserve"> </w:t>
      </w:r>
      <w:r w:rsidR="007F4FC6" w:rsidRPr="00693075">
        <w:t>1</w:t>
      </w:r>
      <w:r w:rsidR="00693075" w:rsidRPr="00693075">
        <w:t>1</w:t>
      </w:r>
      <w:r w:rsidR="007F4FC6" w:rsidRPr="00693075">
        <w:t xml:space="preserve"> </w:t>
      </w:r>
      <w:r w:rsidR="007F4FC6" w:rsidRPr="00693075">
        <w:lastRenderedPageBreak/>
        <w:t>SRGs received third</w:t>
      </w:r>
      <w:r w:rsidR="006A37ED" w:rsidRPr="00693075">
        <w:t>-</w:t>
      </w:r>
      <w:r w:rsidR="007F4FC6" w:rsidRPr="00693075">
        <w:t>cycle loans amount</w:t>
      </w:r>
      <w:r w:rsidR="006A37ED" w:rsidRPr="00693075">
        <w:t>ing</w:t>
      </w:r>
      <w:r w:rsidR="007F4FC6" w:rsidRPr="00693075">
        <w:t xml:space="preserve"> to </w:t>
      </w:r>
      <w:r w:rsidR="00693075">
        <w:t>31.3</w:t>
      </w:r>
      <w:r w:rsidR="007F4FC6" w:rsidRPr="00FA7A76">
        <w:rPr>
          <w:color w:val="FF0000"/>
        </w:rPr>
        <w:t xml:space="preserve"> </w:t>
      </w:r>
      <w:r w:rsidR="007F4FC6" w:rsidRPr="00693075">
        <w:t xml:space="preserve">million </w:t>
      </w:r>
      <w:r w:rsidR="001A2B0A" w:rsidRPr="00693075">
        <w:t>K</w:t>
      </w:r>
      <w:r w:rsidR="007F4FC6" w:rsidRPr="00693075">
        <w:t>yats</w:t>
      </w:r>
      <w:r w:rsidR="006A37ED" w:rsidRPr="00693075">
        <w:t>;</w:t>
      </w:r>
      <w:r w:rsidR="007F4FC6" w:rsidRPr="00693075">
        <w:t xml:space="preserve"> and </w:t>
      </w:r>
      <w:r w:rsidR="00693075" w:rsidRPr="00693075">
        <w:t>6</w:t>
      </w:r>
      <w:r w:rsidR="007F4FC6" w:rsidRPr="00693075">
        <w:t xml:space="preserve"> SRGs received  </w:t>
      </w:r>
      <w:r w:rsidR="006A37ED" w:rsidRPr="00693075">
        <w:t>fourth-</w:t>
      </w:r>
      <w:r w:rsidR="007F4FC6" w:rsidRPr="00693075">
        <w:t>cycle loans amount</w:t>
      </w:r>
      <w:r w:rsidR="006A37ED" w:rsidRPr="00693075">
        <w:t>ing</w:t>
      </w:r>
      <w:r w:rsidR="00693075" w:rsidRPr="00693075">
        <w:t xml:space="preserve"> to 20</w:t>
      </w:r>
      <w:r w:rsidR="007F4FC6" w:rsidRPr="00693075">
        <w:t xml:space="preserve">.7 million </w:t>
      </w:r>
      <w:r w:rsidR="001A2B0A" w:rsidRPr="00693075">
        <w:t>K</w:t>
      </w:r>
      <w:r w:rsidR="007F4FC6" w:rsidRPr="00693075">
        <w:t>yats</w:t>
      </w:r>
      <w:r w:rsidR="006A37ED" w:rsidRPr="00693075">
        <w:t>;</w:t>
      </w:r>
    </w:p>
    <w:p w:rsidR="00630589" w:rsidRPr="00A06357" w:rsidRDefault="007F4FC6" w:rsidP="00767557">
      <w:pPr>
        <w:pStyle w:val="ListParagraph"/>
        <w:numPr>
          <w:ilvl w:val="0"/>
          <w:numId w:val="12"/>
        </w:numPr>
        <w:spacing w:before="120" w:after="120"/>
        <w:jc w:val="both"/>
      </w:pPr>
      <w:r w:rsidRPr="00A06357">
        <w:t xml:space="preserve">Sensitization </w:t>
      </w:r>
      <w:r w:rsidR="006A37ED" w:rsidRPr="00A06357">
        <w:t xml:space="preserve">of </w:t>
      </w:r>
      <w:r w:rsidR="00A06357" w:rsidRPr="00A06357">
        <w:t>182</w:t>
      </w:r>
      <w:r w:rsidR="00630589" w:rsidRPr="00A06357">
        <w:t xml:space="preserve"> SRGs in three townships;</w:t>
      </w:r>
    </w:p>
    <w:p w:rsidR="00630589" w:rsidRDefault="00630589" w:rsidP="00767557">
      <w:pPr>
        <w:pStyle w:val="ListParagraph"/>
        <w:numPr>
          <w:ilvl w:val="0"/>
          <w:numId w:val="12"/>
        </w:numPr>
        <w:spacing w:before="120" w:after="120"/>
        <w:jc w:val="both"/>
      </w:pPr>
      <w:r w:rsidRPr="00A06357">
        <w:t>Field visit</w:t>
      </w:r>
      <w:r w:rsidR="006A37ED" w:rsidRPr="00A06357">
        <w:t>s</w:t>
      </w:r>
      <w:r w:rsidRPr="00A06357">
        <w:t xml:space="preserve"> to</w:t>
      </w:r>
      <w:r w:rsidR="006A37ED" w:rsidRPr="00A06357">
        <w:t xml:space="preserve"> </w:t>
      </w:r>
      <w:r w:rsidR="00A06357" w:rsidRPr="00A06357">
        <w:t>13</w:t>
      </w:r>
      <w:r w:rsidRPr="00A06357">
        <w:t xml:space="preserve"> villages and performance of </w:t>
      </w:r>
      <w:r w:rsidR="00A06357" w:rsidRPr="00A06357">
        <w:t xml:space="preserve">18 </w:t>
      </w:r>
      <w:r w:rsidRPr="00A06357">
        <w:t>capacity assessment</w:t>
      </w:r>
      <w:r w:rsidR="006A37ED" w:rsidRPr="00A06357">
        <w:t>s</w:t>
      </w:r>
      <w:r w:rsidRPr="00A06357">
        <w:t xml:space="preserve"> </w:t>
      </w:r>
      <w:r w:rsidR="00E0708E">
        <w:t>in the reporting period, resulting in identification of 15 SRG as functioning and 3 SRGs as weak</w:t>
      </w:r>
    </w:p>
    <w:p w:rsidR="00630589" w:rsidRPr="00F145F9" w:rsidRDefault="00630589" w:rsidP="001E6D86">
      <w:pPr>
        <w:pStyle w:val="ListParagraph"/>
        <w:numPr>
          <w:ilvl w:val="0"/>
          <w:numId w:val="12"/>
        </w:numPr>
        <w:spacing w:before="120" w:after="120" w:line="240" w:lineRule="auto"/>
        <w:jc w:val="both"/>
        <w:rPr>
          <w:color w:val="FF0000"/>
        </w:rPr>
      </w:pPr>
      <w:r w:rsidRPr="00A06357">
        <w:t xml:space="preserve">Conducting capacity building training for </w:t>
      </w:r>
      <w:r w:rsidR="00A06357" w:rsidRPr="00A06357">
        <w:t>21</w:t>
      </w:r>
      <w:r w:rsidR="00416F10">
        <w:t xml:space="preserve"> SRGs</w:t>
      </w:r>
      <w:r w:rsidR="00A06357" w:rsidRPr="00A06357">
        <w:t xml:space="preserve"> </w:t>
      </w:r>
      <w:r w:rsidR="00416F10" w:rsidRPr="00204499">
        <w:t>w</w:t>
      </w:r>
      <w:r w:rsidR="00416F10">
        <w:t>ith</w:t>
      </w:r>
      <w:r w:rsidR="00416F10" w:rsidRPr="00204499">
        <w:t xml:space="preserve"> </w:t>
      </w:r>
      <w:r w:rsidR="00A06357">
        <w:t>42</w:t>
      </w:r>
      <w:r w:rsidR="00A06357" w:rsidRPr="00204499">
        <w:t xml:space="preserve"> SRG leader</w:t>
      </w:r>
      <w:r w:rsidR="00416F10">
        <w:t>s</w:t>
      </w:r>
      <w:r w:rsidR="00A06357" w:rsidRPr="00204499">
        <w:t xml:space="preserve"> </w:t>
      </w:r>
      <w:r w:rsidR="00416F10" w:rsidRPr="00204499">
        <w:t>t</w:t>
      </w:r>
      <w:r w:rsidR="00416F10">
        <w:t>aking</w:t>
      </w:r>
      <w:r w:rsidR="00416F10" w:rsidRPr="00204499">
        <w:t xml:space="preserve"> </w:t>
      </w:r>
      <w:r w:rsidR="00DF769D">
        <w:t>place</w:t>
      </w:r>
    </w:p>
    <w:p w:rsidR="00803D93" w:rsidRPr="00874492" w:rsidRDefault="00803D93" w:rsidP="00F145F9">
      <w:pPr>
        <w:pStyle w:val="ListParagraph"/>
        <w:numPr>
          <w:ilvl w:val="0"/>
          <w:numId w:val="12"/>
        </w:numPr>
        <w:spacing w:after="0" w:line="240" w:lineRule="auto"/>
        <w:jc w:val="both"/>
      </w:pPr>
      <w:r>
        <w:t xml:space="preserve">Recruiting 342 SRGs as of the reporting period against target of </w:t>
      </w:r>
      <w:r w:rsidR="00BD63BE">
        <w:t>500</w:t>
      </w:r>
      <w:r>
        <w:t xml:space="preserve"> </w:t>
      </w:r>
      <w:r w:rsidR="008D3823">
        <w:rPr>
          <w:rStyle w:val="FootnoteReference"/>
        </w:rPr>
        <w:footnoteReference w:id="5"/>
      </w:r>
      <w:r>
        <w:t xml:space="preserve">SRGs, attaining </w:t>
      </w:r>
      <w:r w:rsidR="00BD63BE">
        <w:t>68.2</w:t>
      </w:r>
      <w:r>
        <w:t>% of the revised target.</w:t>
      </w:r>
    </w:p>
    <w:p w:rsidR="006D2376" w:rsidRPr="00F145F9" w:rsidRDefault="006D2376" w:rsidP="001E6D86">
      <w:pPr>
        <w:pStyle w:val="ListParagraph"/>
        <w:numPr>
          <w:ilvl w:val="0"/>
          <w:numId w:val="12"/>
        </w:numPr>
        <w:spacing w:before="120" w:after="120" w:line="240" w:lineRule="auto"/>
        <w:jc w:val="both"/>
      </w:pPr>
      <w:r w:rsidRPr="00F145F9">
        <w:t xml:space="preserve">Reaching an </w:t>
      </w:r>
      <w:r w:rsidR="006A37ED" w:rsidRPr="00F145F9">
        <w:t>o</w:t>
      </w:r>
      <w:r w:rsidRPr="00F145F9">
        <w:t xml:space="preserve">utstanding portfolio of </w:t>
      </w:r>
      <w:r w:rsidR="00F145F9" w:rsidRPr="00F145F9">
        <w:t>330.3</w:t>
      </w:r>
      <w:r w:rsidR="00630589" w:rsidRPr="00F145F9">
        <w:t xml:space="preserve"> million</w:t>
      </w:r>
      <w:r w:rsidR="00096272" w:rsidRPr="00F145F9">
        <w:t xml:space="preserve"> K</w:t>
      </w:r>
      <w:r w:rsidR="006A37ED" w:rsidRPr="00F145F9">
        <w:t>yats</w:t>
      </w:r>
      <w:r w:rsidR="00E037EA" w:rsidRPr="00F145F9">
        <w:t xml:space="preserve"> </w:t>
      </w:r>
      <w:r w:rsidR="00630589" w:rsidRPr="00F145F9">
        <w:t>(</w:t>
      </w:r>
      <w:r w:rsidRPr="00F145F9">
        <w:t>US$</w:t>
      </w:r>
      <w:r w:rsidR="00F145F9" w:rsidRPr="00F145F9">
        <w:t>340,867</w:t>
      </w:r>
      <w:r w:rsidR="00630589" w:rsidRPr="00F145F9">
        <w:t>)</w:t>
      </w:r>
      <w:r w:rsidR="006A37ED" w:rsidRPr="00F145F9">
        <w:rPr>
          <w:rStyle w:val="FootnoteReference"/>
        </w:rPr>
        <w:t xml:space="preserve"> </w:t>
      </w:r>
      <w:r w:rsidR="006A37ED" w:rsidRPr="00F145F9">
        <w:rPr>
          <w:rStyle w:val="FootnoteReference"/>
        </w:rPr>
        <w:footnoteReference w:id="6"/>
      </w:r>
      <w:r w:rsidR="00E037EA" w:rsidRPr="00F145F9">
        <w:t xml:space="preserve"> at the end of </w:t>
      </w:r>
      <w:r w:rsidR="00F145F9" w:rsidRPr="00F145F9">
        <w:t>Sep</w:t>
      </w:r>
      <w:r w:rsidRPr="00F145F9">
        <w:t xml:space="preserve"> </w:t>
      </w:r>
      <w:r w:rsidR="00E037EA" w:rsidRPr="00F145F9">
        <w:t>2013; and</w:t>
      </w:r>
    </w:p>
    <w:p w:rsidR="00B15409" w:rsidRPr="00F145F9" w:rsidRDefault="004D2A46" w:rsidP="00B15409">
      <w:pPr>
        <w:pStyle w:val="ListParagraph"/>
        <w:numPr>
          <w:ilvl w:val="0"/>
          <w:numId w:val="12"/>
        </w:numPr>
        <w:spacing w:before="120" w:after="120" w:line="240" w:lineRule="auto"/>
        <w:jc w:val="both"/>
      </w:pPr>
      <w:r w:rsidRPr="00F145F9">
        <w:t>Maintaining</w:t>
      </w:r>
      <w:r w:rsidR="006D2376" w:rsidRPr="00F145F9">
        <w:t xml:space="preserve"> a 100 percent repayment rate for the SRG-MF linkage program.</w:t>
      </w:r>
    </w:p>
    <w:p w:rsidR="00B15409" w:rsidRDefault="00B15409" w:rsidP="00CC3D9D">
      <w:pPr>
        <w:pStyle w:val="ListParagraph"/>
        <w:numPr>
          <w:ilvl w:val="0"/>
          <w:numId w:val="34"/>
        </w:numPr>
        <w:tabs>
          <w:tab w:val="left" w:pos="1325"/>
        </w:tabs>
        <w:spacing w:before="120" w:after="120"/>
        <w:jc w:val="both"/>
        <w:rPr>
          <w:b/>
        </w:rPr>
      </w:pPr>
      <w:r w:rsidRPr="00803D93">
        <w:rPr>
          <w:b/>
        </w:rPr>
        <w:t>Challenges</w:t>
      </w:r>
    </w:p>
    <w:p w:rsidR="00B15409" w:rsidRPr="00CC3D9D" w:rsidRDefault="00B15409" w:rsidP="00803D93">
      <w:pPr>
        <w:pStyle w:val="ListParagraph"/>
        <w:numPr>
          <w:ilvl w:val="0"/>
          <w:numId w:val="32"/>
        </w:numPr>
        <w:spacing w:after="0" w:line="240" w:lineRule="auto"/>
      </w:pPr>
      <w:r w:rsidRPr="00CC3D9D">
        <w:t>Due to the closure of UNDP’s ICDP Project, Pact was unable to have access to enough trained SRGs to meet the program targets.</w:t>
      </w:r>
    </w:p>
    <w:p w:rsidR="00A204C8" w:rsidRPr="00CC3D9D" w:rsidRDefault="00A204C8" w:rsidP="00CC3D9D">
      <w:pPr>
        <w:pStyle w:val="ListParagraph"/>
        <w:spacing w:after="0" w:line="240" w:lineRule="auto"/>
        <w:ind w:left="360"/>
      </w:pPr>
    </w:p>
    <w:p w:rsidR="00B15409" w:rsidRPr="00CC3D9D" w:rsidRDefault="00CC3D9D" w:rsidP="00CC3D9D">
      <w:pPr>
        <w:tabs>
          <w:tab w:val="left" w:pos="1325"/>
        </w:tabs>
        <w:spacing w:before="120" w:after="120"/>
        <w:jc w:val="both"/>
        <w:rPr>
          <w:b/>
          <w:sz w:val="24"/>
        </w:rPr>
      </w:pPr>
      <w:r w:rsidRPr="00CC3D9D">
        <w:rPr>
          <w:b/>
          <w:sz w:val="24"/>
        </w:rPr>
        <w:t>Program Performance of Wholesale loan provision to SRG</w:t>
      </w:r>
    </w:p>
    <w:p w:rsidR="00922801" w:rsidRDefault="00F910A0" w:rsidP="00922801">
      <w:pPr>
        <w:spacing w:after="0" w:line="240" w:lineRule="auto"/>
        <w:rPr>
          <w:b/>
          <w:sz w:val="24"/>
          <w:szCs w:val="24"/>
        </w:rPr>
      </w:pPr>
      <w:r w:rsidRPr="00270460">
        <w:rPr>
          <w:noProof/>
        </w:rPr>
        <mc:AlternateContent>
          <mc:Choice Requires="wps">
            <w:drawing>
              <wp:anchor distT="0" distB="0" distL="114300" distR="114300" simplePos="0" relativeHeight="251668480" behindDoc="1" locked="0" layoutInCell="1" allowOverlap="1" wp14:anchorId="0CB0B8E5" wp14:editId="72B1DC5D">
                <wp:simplePos x="0" y="0"/>
                <wp:positionH relativeFrom="margin">
                  <wp:posOffset>3041650</wp:posOffset>
                </wp:positionH>
                <wp:positionV relativeFrom="margin">
                  <wp:posOffset>3290570</wp:posOffset>
                </wp:positionV>
                <wp:extent cx="2714625" cy="3122930"/>
                <wp:effectExtent l="0" t="0" r="28575" b="20320"/>
                <wp:wrapTight wrapText="bothSides">
                  <wp:wrapPolygon edited="0">
                    <wp:start x="0" y="0"/>
                    <wp:lineTo x="0" y="21609"/>
                    <wp:lineTo x="21676" y="21609"/>
                    <wp:lineTo x="21676"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31229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437E" w:rsidRPr="0078105E" w:rsidRDefault="007A437E" w:rsidP="00A204C8">
                            <w:pPr>
                              <w:pBdr>
                                <w:top w:val="single" w:sz="4" w:space="1" w:color="auto"/>
                                <w:left w:val="single" w:sz="4" w:space="4" w:color="auto"/>
                                <w:bottom w:val="single" w:sz="4" w:space="1" w:color="auto"/>
                                <w:right w:val="single" w:sz="4" w:space="4" w:color="auto"/>
                              </w:pBdr>
                              <w:spacing w:after="0" w:line="240" w:lineRule="auto"/>
                              <w:ind w:firstLine="720"/>
                              <w:jc w:val="both"/>
                              <w:rPr>
                                <w:color w:val="000000" w:themeColor="text1"/>
                              </w:rPr>
                            </w:pPr>
                            <w:r w:rsidRPr="0078105E">
                              <w:rPr>
                                <w:color w:val="000000" w:themeColor="text1"/>
                              </w:rPr>
                              <w:t>SRGs</w:t>
                            </w:r>
                            <w:r>
                              <w:rPr>
                                <w:color w:val="000000" w:themeColor="text1"/>
                              </w:rPr>
                              <w:t xml:space="preserve"> are composed of community members who have a common background, face similar financial constraints and are interested in improving their overall livelihoods. Groups are usually made up of 15-20 people. This small size is often preferable as it allows members to easily build trust and cohesion, meet regularly and manage finances and recordkeeping. Members of SRGs set their own rules, regulations, and procedures. At the center of the group is the common fund, which is set up by the members’ savings and serves as a revolving resource base. Through members’ savings, group income and financial support from ICDP, the common fund provides loans to SRG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39.5pt;margin-top:259.1pt;width:213.75pt;height:245.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" filled="f" strokecolor="white [3212]" strokeweight="2pt">
                <v:path arrowok="t"/>
                <v:textbox>
                  <w:txbxContent>
                    <w:p w:rsidR="007A437E" w:rsidRPr="0078105E" w:rsidRDefault="007A437E" w:rsidP="00A204C8">
                      <w:pPr>
                        <w:pBdr>
                          <w:top w:val="single" w:sz="4" w:space="1" w:color="auto"/>
                          <w:left w:val="single" w:sz="4" w:space="4" w:color="auto"/>
                          <w:bottom w:val="single" w:sz="4" w:space="1" w:color="auto"/>
                          <w:right w:val="single" w:sz="4" w:space="4" w:color="auto"/>
                        </w:pBdr>
                        <w:spacing w:after="0" w:line="240" w:lineRule="auto"/>
                        <w:ind w:firstLine="720"/>
                        <w:jc w:val="both"/>
                        <w:rPr>
                          <w:color w:val="000000" w:themeColor="text1"/>
                        </w:rPr>
                      </w:pPr>
                      <w:r w:rsidRPr="0078105E">
                        <w:rPr>
                          <w:color w:val="000000" w:themeColor="text1"/>
                        </w:rPr>
                        <w:t>SRGs</w:t>
                      </w:r>
                      <w:r>
                        <w:rPr>
                          <w:color w:val="000000" w:themeColor="text1"/>
                        </w:rPr>
                        <w:t xml:space="preserve"> are composed of community members who have a common background, face similar financial constraints and are interested in improving their overall livelihoods. Groups are usually made up of 15-20 people. This small size is often preferable as it allows members to easily build trust and cohesion, meet regularly and manage finances and recordkeeping. Members of SRGs set their own rules, regulations, and procedures. At the center of the group is the common fund, which is set up by the members’ savings and serves as a revolving resource base. Through members’ savings, group income and financial support from ICDP, the common fund provides loans to SRG members.</w:t>
                      </w:r>
                    </w:p>
                  </w:txbxContent>
                </v:textbox>
                <w10:wrap type="tight" anchorx="margin" anchory="margin"/>
              </v:rect>
            </w:pict>
          </mc:Fallback>
        </mc:AlternateContent>
      </w:r>
      <w:r w:rsidR="00E77212" w:rsidRPr="00F145F9">
        <w:rPr>
          <w:b/>
          <w:sz w:val="24"/>
          <w:szCs w:val="24"/>
        </w:rPr>
        <w:t>A. Background</w:t>
      </w:r>
    </w:p>
    <w:p w:rsidR="00447B37" w:rsidRDefault="00E77212" w:rsidP="00F910A0">
      <w:pPr>
        <w:spacing w:after="0" w:line="240" w:lineRule="auto"/>
        <w:ind w:firstLine="720"/>
        <w:jc w:val="both"/>
      </w:pPr>
      <w:r w:rsidRPr="00767557">
        <w:t xml:space="preserve">In 1994, UNDP Myanmar </w:t>
      </w:r>
      <w:r w:rsidR="00420C78" w:rsidRPr="00767557">
        <w:t>launched</w:t>
      </w:r>
      <w:r w:rsidRPr="00767557">
        <w:t xml:space="preserve"> the Human Development Initiative (HDI) program in carefully</w:t>
      </w:r>
      <w:r w:rsidR="00B453DB" w:rsidRPr="00767557">
        <w:t xml:space="preserve"> </w:t>
      </w:r>
      <w:r w:rsidR="00E77DBE" w:rsidRPr="00767557">
        <w:t>select</w:t>
      </w:r>
      <w:r w:rsidR="00861F38" w:rsidRPr="00767557">
        <w:t>ed</w:t>
      </w:r>
      <w:r w:rsidRPr="00767557">
        <w:t xml:space="preserve"> geographical areas of Myanmar to address the human development and humanitarian needs of people in those regions in a sustainable manner.</w:t>
      </w:r>
    </w:p>
    <w:p w:rsidR="00F910A0" w:rsidRPr="00922801" w:rsidRDefault="00F910A0" w:rsidP="00F910A0">
      <w:pPr>
        <w:spacing w:after="0" w:line="240" w:lineRule="auto"/>
        <w:ind w:firstLine="720"/>
        <w:jc w:val="both"/>
        <w:rPr>
          <w:b/>
          <w:sz w:val="24"/>
          <w:szCs w:val="24"/>
        </w:rPr>
      </w:pPr>
    </w:p>
    <w:p w:rsidR="00447B37" w:rsidRDefault="00AE33E8" w:rsidP="00922801">
      <w:pPr>
        <w:pStyle w:val="ListParagraph"/>
        <w:spacing w:after="0" w:line="240" w:lineRule="auto"/>
        <w:ind w:left="0" w:firstLine="720"/>
        <w:contextualSpacing w:val="0"/>
        <w:jc w:val="both"/>
      </w:pPr>
      <w:r w:rsidRPr="00767557">
        <w:t>A</w:t>
      </w:r>
      <w:r w:rsidR="00E77212" w:rsidRPr="00767557">
        <w:t xml:space="preserve">s part of its Human Development Initiative (HDI) in Myanmar, </w:t>
      </w:r>
      <w:r w:rsidR="00861F38" w:rsidRPr="00767557">
        <w:t>UNDP</w:t>
      </w:r>
      <w:r w:rsidR="00E77212" w:rsidRPr="00767557">
        <w:t xml:space="preserve"> </w:t>
      </w:r>
      <w:r w:rsidR="00767557" w:rsidRPr="00767557">
        <w:t>has</w:t>
      </w:r>
      <w:r w:rsidR="00E77212" w:rsidRPr="00767557">
        <w:t xml:space="preserve"> implement</w:t>
      </w:r>
      <w:r w:rsidR="00767557" w:rsidRPr="00767557">
        <w:t>ed</w:t>
      </w:r>
      <w:r w:rsidR="00E77212" w:rsidRPr="00767557">
        <w:t xml:space="preserve"> two multi-sector community development projects – the Integrated Community Development Project (ICDP) and Community Development for Remote Townships (CDRT) </w:t>
      </w:r>
      <w:r w:rsidRPr="00767557">
        <w:t>p</w:t>
      </w:r>
      <w:r w:rsidR="00E77212" w:rsidRPr="00767557">
        <w:t>roject – to improve the social and economic status of the p</w:t>
      </w:r>
      <w:r w:rsidR="00E037EA" w:rsidRPr="00767557">
        <w:t>oor. The project</w:t>
      </w:r>
      <w:r w:rsidR="00E77212" w:rsidRPr="00767557">
        <w:t xml:space="preserve"> use</w:t>
      </w:r>
      <w:r w:rsidR="00E037EA" w:rsidRPr="00767557">
        <w:t>d</w:t>
      </w:r>
      <w:r w:rsidR="00E77212" w:rsidRPr="00767557">
        <w:t xml:space="preserve"> participatory methodologies to build the capacity of local communities and increase their social capital through Self-Reliance Groups (SRGs) and community</w:t>
      </w:r>
      <w:r w:rsidR="00BC7089" w:rsidRPr="00767557">
        <w:t>-</w:t>
      </w:r>
      <w:r w:rsidR="00E77212" w:rsidRPr="00767557">
        <w:t>based organizations.</w:t>
      </w:r>
    </w:p>
    <w:p w:rsidR="00F910A0" w:rsidRPr="00767557" w:rsidRDefault="00F910A0" w:rsidP="00922801">
      <w:pPr>
        <w:pStyle w:val="ListParagraph"/>
        <w:spacing w:after="0" w:line="240" w:lineRule="auto"/>
        <w:ind w:left="0" w:firstLine="720"/>
        <w:contextualSpacing w:val="0"/>
        <w:jc w:val="both"/>
      </w:pPr>
    </w:p>
    <w:p w:rsidR="00447B37" w:rsidRDefault="00E77212" w:rsidP="00922801">
      <w:pPr>
        <w:pStyle w:val="ListParagraph"/>
        <w:spacing w:after="0" w:line="240" w:lineRule="auto"/>
        <w:ind w:left="0" w:firstLine="720"/>
        <w:contextualSpacing w:val="0"/>
        <w:jc w:val="both"/>
      </w:pPr>
      <w:r w:rsidRPr="00270460">
        <w:t xml:space="preserve">Self-Reliance Groups (SRGs) were initially introduced into </w:t>
      </w:r>
      <w:r w:rsidR="00A0453A" w:rsidRPr="00270460">
        <w:t xml:space="preserve">the </w:t>
      </w:r>
      <w:r w:rsidRPr="00270460">
        <w:t xml:space="preserve">HDI through </w:t>
      </w:r>
      <w:r w:rsidR="00A0453A" w:rsidRPr="00270460">
        <w:t xml:space="preserve">a </w:t>
      </w:r>
      <w:r w:rsidRPr="00270460">
        <w:t xml:space="preserve">CDRT </w:t>
      </w:r>
      <w:r w:rsidR="00823A55" w:rsidRPr="00270460">
        <w:t>p</w:t>
      </w:r>
      <w:r w:rsidRPr="00270460">
        <w:t>roject in 1997 and</w:t>
      </w:r>
      <w:r w:rsidR="00A0453A" w:rsidRPr="00270460">
        <w:t xml:space="preserve"> a</w:t>
      </w:r>
      <w:r w:rsidR="00861F38" w:rsidRPr="00270460">
        <w:t>n</w:t>
      </w:r>
      <w:r w:rsidRPr="00270460">
        <w:t xml:space="preserve"> ICDP</w:t>
      </w:r>
      <w:r w:rsidR="00861F38" w:rsidRPr="00270460">
        <w:t xml:space="preserve"> project</w:t>
      </w:r>
      <w:r w:rsidRPr="00270460">
        <w:t xml:space="preserve"> in 2003. Extensive </w:t>
      </w:r>
      <w:r w:rsidR="00823A55" w:rsidRPr="00270460">
        <w:t xml:space="preserve">support and </w:t>
      </w:r>
      <w:r w:rsidRPr="00270460">
        <w:t xml:space="preserve">trainings were provided by </w:t>
      </w:r>
      <w:r w:rsidR="00861F38" w:rsidRPr="00270460">
        <w:t>UNDP</w:t>
      </w:r>
      <w:r w:rsidRPr="00270460">
        <w:t xml:space="preserve"> through its field staff to the SRGs on basic concept</w:t>
      </w:r>
      <w:r w:rsidR="00A0453A" w:rsidRPr="00270460">
        <w:t>s</w:t>
      </w:r>
      <w:r w:rsidRPr="00270460">
        <w:t xml:space="preserve"> of group management and developing organizational and social capital. Both </w:t>
      </w:r>
      <w:r w:rsidR="00A0453A" w:rsidRPr="00270460">
        <w:t xml:space="preserve">the </w:t>
      </w:r>
      <w:r w:rsidRPr="00270460">
        <w:t>CDRT and</w:t>
      </w:r>
      <w:r w:rsidR="00A0453A" w:rsidRPr="00270460">
        <w:t xml:space="preserve"> </w:t>
      </w:r>
      <w:r w:rsidRPr="00270460">
        <w:t xml:space="preserve">ICDP </w:t>
      </w:r>
      <w:r w:rsidR="00861F38" w:rsidRPr="00270460">
        <w:t>projects</w:t>
      </w:r>
      <w:r w:rsidR="00B453DB" w:rsidRPr="00270460">
        <w:t xml:space="preserve"> </w:t>
      </w:r>
      <w:r w:rsidR="00A0453A" w:rsidRPr="00270460">
        <w:t xml:space="preserve">established </w:t>
      </w:r>
      <w:r w:rsidRPr="00270460">
        <w:t>the concept of</w:t>
      </w:r>
      <w:r w:rsidR="00A0453A" w:rsidRPr="00270460">
        <w:t xml:space="preserve"> a</w:t>
      </w:r>
      <w:r w:rsidRPr="00270460">
        <w:t xml:space="preserve"> Common Fund (CF)</w:t>
      </w:r>
      <w:r w:rsidR="00A0453A" w:rsidRPr="00270460">
        <w:t>;</w:t>
      </w:r>
      <w:r w:rsidRPr="00270460">
        <w:t xml:space="preserve"> which is set up </w:t>
      </w:r>
      <w:r w:rsidR="00A0453A" w:rsidRPr="00270460">
        <w:t xml:space="preserve">using </w:t>
      </w:r>
      <w:r w:rsidRPr="00270460">
        <w:t xml:space="preserve">members’ savings, </w:t>
      </w:r>
      <w:r w:rsidR="00A0453A" w:rsidRPr="00270460">
        <w:t>financial contributions from UNDP</w:t>
      </w:r>
      <w:r w:rsidRPr="00270460">
        <w:t>,</w:t>
      </w:r>
      <w:r w:rsidR="00A0453A" w:rsidRPr="00270460">
        <w:t xml:space="preserve"> and</w:t>
      </w:r>
      <w:r w:rsidRPr="00270460">
        <w:t xml:space="preserve"> interest</w:t>
      </w:r>
      <w:r w:rsidR="00A0453A" w:rsidRPr="00270460">
        <w:t>-generated income</w:t>
      </w:r>
      <w:r w:rsidRPr="00270460">
        <w:t xml:space="preserve"> from loan</w:t>
      </w:r>
      <w:r w:rsidR="00BC7089" w:rsidRPr="00270460">
        <w:t>s</w:t>
      </w:r>
      <w:r w:rsidR="00861F38" w:rsidRPr="00270460">
        <w:t xml:space="preserve"> to members</w:t>
      </w:r>
      <w:r w:rsidRPr="00270460">
        <w:t xml:space="preserve">. The CF works as a revolving resource base for an SRG as it provides loans to the members and generates income from the loans. However, sometimes the revolving CF was unable to fulfill the capital requirements of </w:t>
      </w:r>
      <w:r w:rsidR="007048F3" w:rsidRPr="00270460">
        <w:t xml:space="preserve">SRG </w:t>
      </w:r>
      <w:r w:rsidRPr="00270460">
        <w:t xml:space="preserve">members. This prompted the need for a source </w:t>
      </w:r>
      <w:r w:rsidRPr="00270460">
        <w:lastRenderedPageBreak/>
        <w:t xml:space="preserve">that could </w:t>
      </w:r>
      <w:r w:rsidR="00A0453A" w:rsidRPr="00270460">
        <w:t xml:space="preserve">enhance </w:t>
      </w:r>
      <w:r w:rsidRPr="00270460">
        <w:t>the capi</w:t>
      </w:r>
      <w:r w:rsidR="00A0453A" w:rsidRPr="00270460">
        <w:t>tal base</w:t>
      </w:r>
      <w:r w:rsidRPr="00270460">
        <w:t xml:space="preserve"> </w:t>
      </w:r>
      <w:r w:rsidR="00A0453A" w:rsidRPr="00270460">
        <w:t xml:space="preserve">so </w:t>
      </w:r>
      <w:r w:rsidR="00861F38" w:rsidRPr="00270460">
        <w:t>UNDP</w:t>
      </w:r>
      <w:r w:rsidRPr="00270460">
        <w:t xml:space="preserve">’s </w:t>
      </w:r>
      <w:r w:rsidR="00F102C3" w:rsidRPr="00270460">
        <w:t>M</w:t>
      </w:r>
      <w:r w:rsidRPr="00270460">
        <w:t xml:space="preserve">icrofinance </w:t>
      </w:r>
      <w:r w:rsidR="00F102C3" w:rsidRPr="00270460">
        <w:t>P</w:t>
      </w:r>
      <w:r w:rsidRPr="00270460">
        <w:t xml:space="preserve">rogram implemented by </w:t>
      </w:r>
      <w:r w:rsidR="00DC0119" w:rsidRPr="00270460">
        <w:t>PACT</w:t>
      </w:r>
      <w:r w:rsidR="00994C24" w:rsidRPr="00270460">
        <w:t xml:space="preserve"> (MFP)</w:t>
      </w:r>
      <w:r w:rsidRPr="00270460">
        <w:t xml:space="preserve"> </w:t>
      </w:r>
      <w:r w:rsidR="00F102C3" w:rsidRPr="00270460">
        <w:t xml:space="preserve">stepped </w:t>
      </w:r>
      <w:r w:rsidR="00090D5C" w:rsidRPr="00270460">
        <w:t>in</w:t>
      </w:r>
      <w:r w:rsidRPr="00270460">
        <w:t xml:space="preserve"> </w:t>
      </w:r>
      <w:r w:rsidR="00F102C3" w:rsidRPr="00270460">
        <w:t xml:space="preserve">as </w:t>
      </w:r>
      <w:r w:rsidR="00E037EA" w:rsidRPr="00270460">
        <w:t xml:space="preserve">a </w:t>
      </w:r>
      <w:r w:rsidRPr="00270460">
        <w:t>source</w:t>
      </w:r>
      <w:r w:rsidR="00E037EA" w:rsidRPr="00270460">
        <w:t xml:space="preserve"> of capital</w:t>
      </w:r>
      <w:r w:rsidRPr="00270460">
        <w:t>.</w:t>
      </w:r>
    </w:p>
    <w:p w:rsidR="00F910A0" w:rsidRPr="00270460" w:rsidRDefault="00F910A0" w:rsidP="00922801">
      <w:pPr>
        <w:pStyle w:val="ListParagraph"/>
        <w:spacing w:after="0" w:line="240" w:lineRule="auto"/>
        <w:ind w:left="0" w:firstLine="720"/>
        <w:contextualSpacing w:val="0"/>
        <w:jc w:val="both"/>
      </w:pPr>
    </w:p>
    <w:p w:rsidR="00447B37" w:rsidRPr="00270460" w:rsidRDefault="0041338F" w:rsidP="00922801">
      <w:pPr>
        <w:pStyle w:val="ListParagraph"/>
        <w:spacing w:after="0" w:line="240" w:lineRule="auto"/>
        <w:ind w:left="0" w:firstLine="720"/>
        <w:contextualSpacing w:val="0"/>
        <w:jc w:val="both"/>
      </w:pPr>
      <w:r w:rsidRPr="00270460">
        <w:t>Following</w:t>
      </w:r>
      <w:r w:rsidR="00E77212" w:rsidRPr="00270460">
        <w:t xml:space="preserve"> the recommendations from </w:t>
      </w:r>
      <w:r w:rsidRPr="00270460">
        <w:t xml:space="preserve">a </w:t>
      </w:r>
      <w:r w:rsidR="00E77212" w:rsidRPr="00270460">
        <w:t xml:space="preserve">previous Independent Assessment Mission (IAM), UNDP Myanmar agreed to establish a linkage between its two HDI projects – ICDP and </w:t>
      </w:r>
      <w:r w:rsidR="00994C24" w:rsidRPr="00270460">
        <w:t xml:space="preserve">MFP </w:t>
      </w:r>
      <w:r w:rsidR="00E77212" w:rsidRPr="00270460">
        <w:t xml:space="preserve">– by providing access to credit to the SRGs from the </w:t>
      </w:r>
      <w:r w:rsidR="00994C24" w:rsidRPr="00270460">
        <w:t>MFP</w:t>
      </w:r>
      <w:r w:rsidR="00E77212" w:rsidRPr="00270460">
        <w:t xml:space="preserve">. It paved the way for SRGs </w:t>
      </w:r>
      <w:r w:rsidRPr="00270460">
        <w:t>created</w:t>
      </w:r>
      <w:r w:rsidR="00E77212" w:rsidRPr="00270460">
        <w:t xml:space="preserve"> by</w:t>
      </w:r>
      <w:r w:rsidRPr="00270460">
        <w:t xml:space="preserve"> </w:t>
      </w:r>
      <w:r w:rsidR="00E77212" w:rsidRPr="00270460">
        <w:t xml:space="preserve">ICDP to access wholesale lending </w:t>
      </w:r>
      <w:r w:rsidRPr="00270460">
        <w:t xml:space="preserve">from </w:t>
      </w:r>
      <w:r w:rsidR="00994C24" w:rsidRPr="00270460">
        <w:t>MFP</w:t>
      </w:r>
      <w:r w:rsidR="00E77212" w:rsidRPr="00270460">
        <w:t xml:space="preserve"> to supplement their common fund and meet the members’ demands for higher working capitals as their businesses gr</w:t>
      </w:r>
      <w:r w:rsidRPr="00270460">
        <w:t>e</w:t>
      </w:r>
      <w:r w:rsidR="00E77212" w:rsidRPr="00270460">
        <w:t>w. The SRG-MF linkage was initiated by UNDP for the first time</w:t>
      </w:r>
      <w:r w:rsidR="00994C24" w:rsidRPr="00270460">
        <w:t xml:space="preserve"> in 2009 when </w:t>
      </w:r>
      <w:r w:rsidR="00E77212" w:rsidRPr="00270460">
        <w:t xml:space="preserve">SRGs from the Shan Zone were </w:t>
      </w:r>
      <w:r w:rsidR="00994C24" w:rsidRPr="00270460">
        <w:t xml:space="preserve">first </w:t>
      </w:r>
      <w:r w:rsidR="00E77212" w:rsidRPr="00270460">
        <w:t xml:space="preserve">chosen for </w:t>
      </w:r>
      <w:r w:rsidRPr="00270460">
        <w:t>w</w:t>
      </w:r>
      <w:r w:rsidR="00E77212" w:rsidRPr="00270460">
        <w:t xml:space="preserve">holesale loans as they were found to be the most </w:t>
      </w:r>
      <w:r w:rsidR="00B453DB" w:rsidRPr="00270460">
        <w:t xml:space="preserve">functional </w:t>
      </w:r>
      <w:r w:rsidR="00E77212" w:rsidRPr="00270460">
        <w:t xml:space="preserve">among all the SRGs in three </w:t>
      </w:r>
      <w:r w:rsidRPr="00270460">
        <w:t xml:space="preserve">regions </w:t>
      </w:r>
      <w:r w:rsidR="00E956B5" w:rsidRPr="00270460">
        <w:t xml:space="preserve">– </w:t>
      </w:r>
      <w:r w:rsidR="00E77212" w:rsidRPr="00270460">
        <w:t>Delta, Dry and Shan.</w:t>
      </w:r>
    </w:p>
    <w:p w:rsidR="00381D46" w:rsidRDefault="00E77212" w:rsidP="00922801">
      <w:pPr>
        <w:spacing w:before="120" w:after="120"/>
        <w:ind w:firstLine="720"/>
      </w:pPr>
      <w:r w:rsidRPr="006E5032">
        <w:t>USAID provided fund assistance worth</w:t>
      </w:r>
      <w:r w:rsidR="00404D22" w:rsidRPr="006E5032">
        <w:t xml:space="preserve"> </w:t>
      </w:r>
      <w:r w:rsidRPr="006E5032">
        <w:t>$</w:t>
      </w:r>
      <w:r w:rsidR="00E037EA" w:rsidRPr="006E5032">
        <w:t>2,109,000</w:t>
      </w:r>
      <w:r w:rsidRPr="006E5032">
        <w:t xml:space="preserve"> to </w:t>
      </w:r>
      <w:r w:rsidR="00861F38" w:rsidRPr="006E5032">
        <w:t>UNDP</w:t>
      </w:r>
      <w:r w:rsidRPr="006E5032">
        <w:t xml:space="preserve"> to undertake the “Self-Reliance Groups Access to Microfinance’s Wholesale Loan” program with an aim to </w:t>
      </w:r>
      <w:r w:rsidR="0041338F" w:rsidRPr="006E5032">
        <w:t xml:space="preserve">expand </w:t>
      </w:r>
      <w:r w:rsidRPr="006E5032">
        <w:t xml:space="preserve">wholesale loans </w:t>
      </w:r>
      <w:r w:rsidR="00185B35" w:rsidRPr="006E5032">
        <w:t>to</w:t>
      </w:r>
      <w:r w:rsidRPr="006E5032">
        <w:t xml:space="preserve"> 500</w:t>
      </w:r>
      <w:r w:rsidR="00185B35" w:rsidRPr="006E5032">
        <w:t xml:space="preserve"> </w:t>
      </w:r>
      <w:r w:rsidRPr="006E5032">
        <w:t xml:space="preserve">SRGs in three townships </w:t>
      </w:r>
      <w:r w:rsidR="00185B35" w:rsidRPr="006E5032">
        <w:t>in</w:t>
      </w:r>
      <w:r w:rsidRPr="006E5032">
        <w:t xml:space="preserve"> the Delta Zone.</w:t>
      </w:r>
    </w:p>
    <w:p w:rsidR="00F910A0" w:rsidRPr="006E5032" w:rsidRDefault="00F910A0" w:rsidP="00922801">
      <w:pPr>
        <w:spacing w:before="120" w:after="120"/>
        <w:ind w:firstLine="720"/>
        <w:rPr>
          <w:b/>
          <w:sz w:val="24"/>
        </w:rPr>
      </w:pPr>
    </w:p>
    <w:p w:rsidR="00447B37" w:rsidRPr="006E5032" w:rsidRDefault="00E77212" w:rsidP="006E5032">
      <w:pPr>
        <w:spacing w:before="120" w:after="120"/>
        <w:jc w:val="both"/>
        <w:rPr>
          <w:b/>
          <w:sz w:val="24"/>
        </w:rPr>
      </w:pPr>
      <w:r w:rsidRPr="006E5032">
        <w:rPr>
          <w:b/>
          <w:sz w:val="24"/>
        </w:rPr>
        <w:t>B. Goal and Objectives</w:t>
      </w:r>
    </w:p>
    <w:p w:rsidR="00447B37" w:rsidRPr="006E5032" w:rsidRDefault="00E77212" w:rsidP="00F910A0">
      <w:pPr>
        <w:pStyle w:val="ListParagraph"/>
        <w:spacing w:before="120" w:after="120"/>
        <w:ind w:left="0" w:firstLine="720"/>
        <w:contextualSpacing w:val="0"/>
        <w:jc w:val="both"/>
      </w:pPr>
      <w:r w:rsidRPr="006E5032">
        <w:t xml:space="preserve">The main goal </w:t>
      </w:r>
      <w:r w:rsidR="00185B35" w:rsidRPr="006E5032">
        <w:t>of the</w:t>
      </w:r>
      <w:r w:rsidR="00D57BDA" w:rsidRPr="006E5032">
        <w:t xml:space="preserve"> “Self-Reliance Groups Access to Microfinance’s Wholesale Loan” </w:t>
      </w:r>
      <w:r w:rsidR="00185B35" w:rsidRPr="006E5032">
        <w:t xml:space="preserve">program </w:t>
      </w:r>
      <w:r w:rsidRPr="006E5032">
        <w:t>was to link two HDI projects – Microfinance Project</w:t>
      </w:r>
      <w:r w:rsidR="003013E0" w:rsidRPr="006E5032">
        <w:t xml:space="preserve"> (MFP)</w:t>
      </w:r>
      <w:r w:rsidRPr="006E5032">
        <w:t xml:space="preserve"> and Integrated Community Development Project (ICDP) – to provide </w:t>
      </w:r>
      <w:r w:rsidR="00185B35" w:rsidRPr="006E5032">
        <w:t xml:space="preserve">the </w:t>
      </w:r>
      <w:r w:rsidRPr="006E5032">
        <w:t xml:space="preserve">SRGs access to MF loans in HDI townships where MFP and ICDP were working together. </w:t>
      </w:r>
      <w:r w:rsidR="00994C24" w:rsidRPr="006E5032">
        <w:t>MFP</w:t>
      </w:r>
      <w:r w:rsidRPr="006E5032">
        <w:t xml:space="preserve"> undertook the following objectives to achieve the goal:</w:t>
      </w:r>
    </w:p>
    <w:p w:rsidR="00447B37" w:rsidRPr="006E5032" w:rsidRDefault="00E77212" w:rsidP="006E5032">
      <w:pPr>
        <w:pStyle w:val="ListParagraph"/>
        <w:spacing w:before="120" w:after="120"/>
        <w:ind w:left="2025" w:hanging="2025"/>
        <w:jc w:val="both"/>
        <w:rPr>
          <w:b/>
        </w:rPr>
      </w:pPr>
      <w:r w:rsidRPr="006E5032">
        <w:rPr>
          <w:b/>
        </w:rPr>
        <w:t>Objective 1:</w:t>
      </w:r>
      <w:r w:rsidRPr="006E5032">
        <w:rPr>
          <w:b/>
        </w:rPr>
        <w:tab/>
        <w:t xml:space="preserve">To enhance the capacity of viable SRGs in loan fund management and bookkeeping through </w:t>
      </w:r>
      <w:r w:rsidR="007E6055" w:rsidRPr="006E5032">
        <w:rPr>
          <w:b/>
        </w:rPr>
        <w:t xml:space="preserve">specialized </w:t>
      </w:r>
      <w:r w:rsidRPr="006E5032">
        <w:rPr>
          <w:b/>
        </w:rPr>
        <w:t xml:space="preserve">training </w:t>
      </w:r>
      <w:r w:rsidR="00D57BDA" w:rsidRPr="006E5032">
        <w:rPr>
          <w:b/>
        </w:rPr>
        <w:t xml:space="preserve">prior to </w:t>
      </w:r>
      <w:r w:rsidRPr="006E5032">
        <w:rPr>
          <w:b/>
        </w:rPr>
        <w:t>loan delivery.</w:t>
      </w:r>
    </w:p>
    <w:p w:rsidR="00447B37" w:rsidRPr="006E5032" w:rsidRDefault="00E77212" w:rsidP="006E5032">
      <w:pPr>
        <w:pStyle w:val="ListParagraph"/>
        <w:spacing w:before="120" w:after="120"/>
        <w:ind w:left="2025" w:hanging="2025"/>
        <w:jc w:val="both"/>
        <w:rPr>
          <w:b/>
        </w:rPr>
      </w:pPr>
      <w:r w:rsidRPr="006E5032">
        <w:rPr>
          <w:b/>
        </w:rPr>
        <w:t>Objective 2:</w:t>
      </w:r>
      <w:r w:rsidRPr="006E5032">
        <w:rPr>
          <w:b/>
        </w:rPr>
        <w:tab/>
        <w:t xml:space="preserve">Provide wholesale loans to </w:t>
      </w:r>
      <w:r w:rsidR="00185B35" w:rsidRPr="006E5032">
        <w:rPr>
          <w:b/>
        </w:rPr>
        <w:t xml:space="preserve">the </w:t>
      </w:r>
      <w:r w:rsidRPr="006E5032">
        <w:rPr>
          <w:b/>
        </w:rPr>
        <w:t>SRGs to support microenterprise ventures of their members.</w:t>
      </w:r>
    </w:p>
    <w:p w:rsidR="00447B37" w:rsidRPr="006E5032" w:rsidRDefault="00E77212" w:rsidP="006E5032">
      <w:pPr>
        <w:spacing w:before="120" w:after="120"/>
        <w:jc w:val="both"/>
        <w:rPr>
          <w:b/>
          <w:sz w:val="24"/>
        </w:rPr>
      </w:pPr>
      <w:r w:rsidRPr="006E5032">
        <w:rPr>
          <w:b/>
          <w:sz w:val="24"/>
        </w:rPr>
        <w:t>C. Methodology</w:t>
      </w:r>
    </w:p>
    <w:p w:rsidR="00C92595" w:rsidRPr="006E5032" w:rsidRDefault="00E77212" w:rsidP="00F910A0">
      <w:pPr>
        <w:pStyle w:val="ListParagraph"/>
        <w:spacing w:before="120" w:after="120"/>
        <w:ind w:left="0" w:firstLine="720"/>
        <w:contextualSpacing w:val="0"/>
        <w:jc w:val="both"/>
      </w:pPr>
      <w:r w:rsidRPr="006E5032">
        <w:t xml:space="preserve">The two projects collaborated to </w:t>
      </w:r>
      <w:r w:rsidR="00D57BDA" w:rsidRPr="006E5032">
        <w:t>establish</w:t>
      </w:r>
      <w:r w:rsidR="00185B35" w:rsidRPr="006E5032">
        <w:t xml:space="preserve"> </w:t>
      </w:r>
      <w:r w:rsidRPr="006E5032">
        <w:t xml:space="preserve">criteria and terms for the new </w:t>
      </w:r>
      <w:r w:rsidR="00D679D8" w:rsidRPr="006E5032">
        <w:t>“</w:t>
      </w:r>
      <w:r w:rsidR="00D57BDA" w:rsidRPr="006E5032">
        <w:t>w</w:t>
      </w:r>
      <w:r w:rsidR="00D679D8" w:rsidRPr="006E5032">
        <w:t xml:space="preserve">holesale loan” </w:t>
      </w:r>
      <w:r w:rsidR="00994C24" w:rsidRPr="006E5032">
        <w:t xml:space="preserve">product </w:t>
      </w:r>
      <w:r w:rsidR="00D679D8" w:rsidRPr="006E5032">
        <w:t>(</w:t>
      </w:r>
      <w:r w:rsidRPr="006E5032">
        <w:t>Annex A)</w:t>
      </w:r>
      <w:r w:rsidR="00185B35" w:rsidRPr="006E5032">
        <w:t>,</w:t>
      </w:r>
      <w:r w:rsidRPr="006E5032">
        <w:t xml:space="preserve"> developed by MFP</w:t>
      </w:r>
      <w:r w:rsidR="00D57BDA" w:rsidRPr="006E5032">
        <w:t>,</w:t>
      </w:r>
      <w:r w:rsidRPr="006E5032">
        <w:t xml:space="preserve"> and agreed on a capacity assessment tool that would be used in assessing the SRGs. </w:t>
      </w:r>
    </w:p>
    <w:p w:rsidR="00447B37" w:rsidRPr="006E5032" w:rsidRDefault="00E77212" w:rsidP="00F910A0">
      <w:pPr>
        <w:pStyle w:val="ListParagraph"/>
        <w:spacing w:before="120" w:after="120"/>
        <w:ind w:left="0" w:firstLine="720"/>
        <w:contextualSpacing w:val="0"/>
        <w:jc w:val="both"/>
      </w:pPr>
      <w:r w:rsidRPr="006E5032">
        <w:t xml:space="preserve">Wholesale </w:t>
      </w:r>
      <w:r w:rsidR="00185B35" w:rsidRPr="006E5032">
        <w:t>l</w:t>
      </w:r>
      <w:r w:rsidRPr="006E5032">
        <w:t>oan</w:t>
      </w:r>
      <w:r w:rsidR="008C596D" w:rsidRPr="006E5032">
        <w:t>s</w:t>
      </w:r>
      <w:r w:rsidRPr="006E5032">
        <w:t xml:space="preserve"> </w:t>
      </w:r>
      <w:r w:rsidR="008C596D" w:rsidRPr="006E5032">
        <w:t>are</w:t>
      </w:r>
      <w:r w:rsidRPr="006E5032">
        <w:t xml:space="preserve"> given to viable SRGs as a group loan, not as </w:t>
      </w:r>
      <w:r w:rsidR="00185B35" w:rsidRPr="006E5032">
        <w:t xml:space="preserve">an </w:t>
      </w:r>
      <w:r w:rsidRPr="006E5032">
        <w:t xml:space="preserve">individual loan, </w:t>
      </w:r>
      <w:r w:rsidR="00994C24" w:rsidRPr="006E5032">
        <w:t xml:space="preserve">and </w:t>
      </w:r>
      <w:r w:rsidRPr="006E5032">
        <w:t xml:space="preserve">the SRG leaders decide on how to lend it to their members. The loan size and </w:t>
      </w:r>
      <w:r w:rsidR="008C596D" w:rsidRPr="006E5032">
        <w:t xml:space="preserve">pay-back </w:t>
      </w:r>
      <w:r w:rsidRPr="006E5032">
        <w:t>period are flexible (maximum 12 months)</w:t>
      </w:r>
      <w:r w:rsidR="00994C24" w:rsidRPr="006E5032">
        <w:t>,</w:t>
      </w:r>
      <w:r w:rsidRPr="006E5032">
        <w:t xml:space="preserve"> with a mutually agreed repayment schedule.</w:t>
      </w:r>
      <w:r w:rsidR="00062ED8" w:rsidRPr="006E5032">
        <w:t xml:space="preserve">  </w:t>
      </w:r>
      <w:r w:rsidRPr="006E5032">
        <w:t>Subsequent loan</w:t>
      </w:r>
      <w:r w:rsidR="008C596D" w:rsidRPr="006E5032">
        <w:t>s</w:t>
      </w:r>
      <w:r w:rsidRPr="006E5032">
        <w:t xml:space="preserve"> depend on the performance of the previous loan taken from the MFP. </w:t>
      </w:r>
      <w:r w:rsidR="008C596D" w:rsidRPr="006E5032">
        <w:t>Leaders of the SRG</w:t>
      </w:r>
      <w:r w:rsidRPr="006E5032">
        <w:t xml:space="preserve"> act as the third</w:t>
      </w:r>
      <w:r w:rsidR="00185B35" w:rsidRPr="006E5032">
        <w:t>-</w:t>
      </w:r>
      <w:r w:rsidRPr="006E5032">
        <w:t xml:space="preserve">party guarantor of the group loan from the MFP and collaborate with MFP Loan Monitors and </w:t>
      </w:r>
      <w:r w:rsidR="00BC54C2" w:rsidRPr="006E5032">
        <w:t>Training Off</w:t>
      </w:r>
      <w:r w:rsidR="007048F3" w:rsidRPr="006E5032">
        <w:t>i</w:t>
      </w:r>
      <w:r w:rsidR="00BC54C2" w:rsidRPr="006E5032">
        <w:t>cers</w:t>
      </w:r>
      <w:r w:rsidRPr="006E5032">
        <w:t xml:space="preserve"> in implementing </w:t>
      </w:r>
      <w:r w:rsidR="006E5032" w:rsidRPr="006E5032">
        <w:t xml:space="preserve">of </w:t>
      </w:r>
      <w:r w:rsidRPr="006E5032">
        <w:t>the program by performing</w:t>
      </w:r>
      <w:r w:rsidR="008C596D" w:rsidRPr="006E5032">
        <w:t xml:space="preserve"> a</w:t>
      </w:r>
      <w:r w:rsidRPr="006E5032">
        <w:t xml:space="preserve"> capacity assessment, providing capacity building training, maintaining credit discipline and</w:t>
      </w:r>
      <w:r w:rsidR="008C596D" w:rsidRPr="006E5032">
        <w:t xml:space="preserve"> setting up a</w:t>
      </w:r>
      <w:r w:rsidR="007E6055" w:rsidRPr="006E5032">
        <w:t xml:space="preserve"> repayment </w:t>
      </w:r>
      <w:r w:rsidRPr="006E5032">
        <w:t>schedule.</w:t>
      </w:r>
    </w:p>
    <w:p w:rsidR="00F910A0" w:rsidRDefault="00F910A0" w:rsidP="006E5032">
      <w:pPr>
        <w:spacing w:before="120" w:after="120"/>
        <w:jc w:val="both"/>
        <w:rPr>
          <w:b/>
          <w:sz w:val="24"/>
        </w:rPr>
      </w:pPr>
    </w:p>
    <w:p w:rsidR="00447B37" w:rsidRPr="006E5032" w:rsidRDefault="00E77212" w:rsidP="006E5032">
      <w:pPr>
        <w:spacing w:before="120" w:after="120"/>
        <w:jc w:val="both"/>
        <w:rPr>
          <w:b/>
          <w:sz w:val="24"/>
        </w:rPr>
      </w:pPr>
      <w:r w:rsidRPr="006E5032">
        <w:rPr>
          <w:b/>
          <w:sz w:val="24"/>
        </w:rPr>
        <w:t>D. Performance and Deliveries</w:t>
      </w:r>
    </w:p>
    <w:p w:rsidR="00447B37" w:rsidRPr="006E5032" w:rsidRDefault="00E77212" w:rsidP="00F910A0">
      <w:pPr>
        <w:pStyle w:val="ListParagraph"/>
        <w:spacing w:before="120" w:after="120"/>
        <w:ind w:left="0" w:firstLine="720"/>
        <w:contextualSpacing w:val="0"/>
        <w:jc w:val="both"/>
      </w:pPr>
      <w:r w:rsidRPr="006E5032">
        <w:t>The three townships</w:t>
      </w:r>
      <w:r w:rsidR="006918EE" w:rsidRPr="006E5032">
        <w:t xml:space="preserve"> selected </w:t>
      </w:r>
      <w:r w:rsidR="007E6055" w:rsidRPr="006E5032">
        <w:t>for the intervention had</w:t>
      </w:r>
      <w:r w:rsidRPr="006E5032">
        <w:t xml:space="preserve"> 1,062 Self-Reliance Groups</w:t>
      </w:r>
      <w:r w:rsidR="009046BF" w:rsidRPr="006E5032">
        <w:t xml:space="preserve"> identified by </w:t>
      </w:r>
      <w:proofErr w:type="gramStart"/>
      <w:r w:rsidR="009046BF" w:rsidRPr="006E5032">
        <w:t>ICDP</w:t>
      </w:r>
      <w:r w:rsidRPr="006E5032">
        <w:t xml:space="preserve"> .</w:t>
      </w:r>
      <w:proofErr w:type="gramEnd"/>
      <w:r w:rsidRPr="006E5032">
        <w:t xml:space="preserve"> </w:t>
      </w:r>
      <w:r w:rsidR="00225890" w:rsidRPr="006E5032">
        <w:t xml:space="preserve">Out of these, ICDP was supposed to target 500 to receive capacity development and then be assessed jointly with MFP before becoming eligible for wholesale loans.  </w:t>
      </w:r>
      <w:r w:rsidR="00994C24" w:rsidRPr="006E5032">
        <w:t xml:space="preserve">MFP </w:t>
      </w:r>
      <w:r w:rsidRPr="006E5032">
        <w:t xml:space="preserve">started with </w:t>
      </w:r>
      <w:r w:rsidR="006918EE" w:rsidRPr="006E5032">
        <w:t>a s</w:t>
      </w:r>
      <w:r w:rsidRPr="006E5032">
        <w:t xml:space="preserve">ensitization </w:t>
      </w:r>
      <w:r w:rsidR="006918EE" w:rsidRPr="006E5032">
        <w:t>m</w:t>
      </w:r>
      <w:r w:rsidRPr="006E5032">
        <w:t>eeting for SRG representatives where the concept of linkage with SRG</w:t>
      </w:r>
      <w:r w:rsidR="006918EE" w:rsidRPr="006E5032">
        <w:t>s</w:t>
      </w:r>
      <w:r w:rsidRPr="006E5032">
        <w:t xml:space="preserve"> and </w:t>
      </w:r>
      <w:r w:rsidR="00185B35" w:rsidRPr="006E5032">
        <w:t>the m</w:t>
      </w:r>
      <w:r w:rsidRPr="006E5032">
        <w:t xml:space="preserve">ethodology of </w:t>
      </w:r>
      <w:r w:rsidR="00185B35" w:rsidRPr="006E5032">
        <w:t xml:space="preserve">the </w:t>
      </w:r>
      <w:r w:rsidR="00994C24" w:rsidRPr="006E5032">
        <w:t xml:space="preserve">wholesale </w:t>
      </w:r>
      <w:r w:rsidR="00185B35" w:rsidRPr="006E5032">
        <w:t>l</w:t>
      </w:r>
      <w:r w:rsidRPr="006E5032">
        <w:t>oan w</w:t>
      </w:r>
      <w:r w:rsidR="00185B35" w:rsidRPr="006E5032">
        <w:t>ere</w:t>
      </w:r>
      <w:r w:rsidRPr="006E5032">
        <w:t xml:space="preserve"> discussed.</w:t>
      </w:r>
      <w:r w:rsidR="00E77837" w:rsidRPr="006E5032">
        <w:t xml:space="preserve"> </w:t>
      </w:r>
    </w:p>
    <w:p w:rsidR="00447B37" w:rsidRPr="006E5032" w:rsidRDefault="00E77212" w:rsidP="00F910A0">
      <w:pPr>
        <w:pStyle w:val="ListParagraph"/>
        <w:spacing w:before="120" w:after="120"/>
        <w:ind w:left="0" w:firstLine="720"/>
        <w:contextualSpacing w:val="0"/>
        <w:jc w:val="both"/>
      </w:pPr>
      <w:r w:rsidRPr="006E5032">
        <w:lastRenderedPageBreak/>
        <w:t xml:space="preserve">After the sensitization meeting with SRGs, </w:t>
      </w:r>
      <w:r w:rsidR="006918EE" w:rsidRPr="006E5032">
        <w:t xml:space="preserve">a </w:t>
      </w:r>
      <w:r w:rsidRPr="006E5032">
        <w:t>Joint Capacity Assessment was conducted</w:t>
      </w:r>
      <w:r w:rsidR="00225890" w:rsidRPr="006E5032">
        <w:t xml:space="preserve"> by</w:t>
      </w:r>
      <w:r w:rsidR="00803D93" w:rsidRPr="00803D93">
        <w:t xml:space="preserve"> </w:t>
      </w:r>
      <w:r w:rsidR="00803D93">
        <w:t>ex-I</w:t>
      </w:r>
      <w:r w:rsidR="009C1593">
        <w:t xml:space="preserve">CDP staff contracted by UNDP </w:t>
      </w:r>
      <w:r w:rsidR="00225890" w:rsidRPr="006E5032">
        <w:t>and MFP</w:t>
      </w:r>
      <w:r w:rsidR="00803D93">
        <w:t xml:space="preserve"> staff</w:t>
      </w:r>
      <w:r w:rsidRPr="006E5032">
        <w:t xml:space="preserve"> to verify </w:t>
      </w:r>
      <w:r w:rsidR="00391098" w:rsidRPr="006E5032">
        <w:t xml:space="preserve">the </w:t>
      </w:r>
      <w:r w:rsidRPr="006E5032">
        <w:t>viab</w:t>
      </w:r>
      <w:r w:rsidR="00391098" w:rsidRPr="006E5032">
        <w:t>ility of</w:t>
      </w:r>
      <w:r w:rsidRPr="006E5032">
        <w:t xml:space="preserve"> </w:t>
      </w:r>
      <w:r w:rsidR="00EE34C3" w:rsidRPr="006E5032">
        <w:t xml:space="preserve">the </w:t>
      </w:r>
      <w:r w:rsidR="001420FC" w:rsidRPr="006E5032">
        <w:t xml:space="preserve">SRGs. The SRG capacity assessment form is attached in ANNEX (B).  </w:t>
      </w:r>
      <w:r w:rsidRPr="006E5032">
        <w:t xml:space="preserve"> Capacity assessment</w:t>
      </w:r>
      <w:r w:rsidR="006918EE" w:rsidRPr="006E5032">
        <w:t>s</w:t>
      </w:r>
      <w:r w:rsidRPr="006E5032">
        <w:t xml:space="preserve"> </w:t>
      </w:r>
      <w:r w:rsidR="00EE34C3" w:rsidRPr="006E5032">
        <w:t>took the following criteria into account:</w:t>
      </w:r>
    </w:p>
    <w:p w:rsidR="00447B37" w:rsidRPr="006E5032" w:rsidRDefault="00E77212" w:rsidP="006E5032">
      <w:pPr>
        <w:pStyle w:val="ListParagraph"/>
        <w:numPr>
          <w:ilvl w:val="0"/>
          <w:numId w:val="13"/>
        </w:numPr>
        <w:spacing w:before="120" w:after="120"/>
        <w:contextualSpacing w:val="0"/>
        <w:jc w:val="both"/>
      </w:pPr>
      <w:r w:rsidRPr="006E5032">
        <w:t>Managing capacity of loans</w:t>
      </w:r>
      <w:r w:rsidR="006918EE" w:rsidRPr="006E5032">
        <w:t>,</w:t>
      </w:r>
      <w:r w:rsidRPr="006E5032">
        <w:t xml:space="preserve"> including re-lending and recovery rates</w:t>
      </w:r>
    </w:p>
    <w:p w:rsidR="00447B37" w:rsidRPr="006E5032" w:rsidRDefault="00E77212" w:rsidP="006E5032">
      <w:pPr>
        <w:pStyle w:val="ListParagraph"/>
        <w:numPr>
          <w:ilvl w:val="0"/>
          <w:numId w:val="13"/>
        </w:numPr>
        <w:spacing w:before="120" w:after="120"/>
        <w:contextualSpacing w:val="0"/>
        <w:jc w:val="both"/>
      </w:pPr>
      <w:r w:rsidRPr="006E5032">
        <w:t>Status of savings mobilization</w:t>
      </w:r>
    </w:p>
    <w:p w:rsidR="00CE65B0" w:rsidRPr="006E5032" w:rsidRDefault="00E77212" w:rsidP="006E5032">
      <w:pPr>
        <w:pStyle w:val="ListParagraph"/>
        <w:numPr>
          <w:ilvl w:val="0"/>
          <w:numId w:val="13"/>
        </w:numPr>
        <w:spacing w:before="120" w:after="120"/>
        <w:contextualSpacing w:val="0"/>
        <w:jc w:val="both"/>
      </w:pPr>
      <w:r w:rsidRPr="006E5032">
        <w:t>Keeping of record</w:t>
      </w:r>
      <w:r w:rsidR="006918EE" w:rsidRPr="006E5032">
        <w:t>s</w:t>
      </w:r>
      <w:r w:rsidRPr="006E5032">
        <w:t xml:space="preserve"> inclusive of bookkeeping and accounting system</w:t>
      </w:r>
    </w:p>
    <w:p w:rsidR="00447B37" w:rsidRPr="006E5032" w:rsidRDefault="00CE65B0" w:rsidP="006E5032">
      <w:pPr>
        <w:pStyle w:val="ListParagraph"/>
        <w:numPr>
          <w:ilvl w:val="0"/>
          <w:numId w:val="13"/>
        </w:numPr>
        <w:spacing w:before="120" w:after="120"/>
        <w:contextualSpacing w:val="0"/>
        <w:jc w:val="both"/>
      </w:pPr>
      <w:r w:rsidRPr="006E5032">
        <w:t>Leadership status of the SRG</w:t>
      </w:r>
    </w:p>
    <w:p w:rsidR="00630589" w:rsidRPr="00AA6362" w:rsidRDefault="00D81584" w:rsidP="00F910A0">
      <w:pPr>
        <w:pStyle w:val="ListParagraph"/>
        <w:spacing w:before="120" w:after="120"/>
        <w:ind w:left="0" w:firstLine="720"/>
        <w:contextualSpacing w:val="0"/>
        <w:jc w:val="both"/>
      </w:pPr>
      <w:r w:rsidRPr="0076372D">
        <w:t>During the reporting period,</w:t>
      </w:r>
      <w:r w:rsidR="00630589" w:rsidRPr="0076372D">
        <w:t xml:space="preserve"> </w:t>
      </w:r>
      <w:r w:rsidR="0076372D" w:rsidRPr="0076372D">
        <w:t>July-Sep</w:t>
      </w:r>
      <w:r w:rsidR="00630589" w:rsidRPr="0076372D">
        <w:t xml:space="preserve"> 2013, capacity assessment for </w:t>
      </w:r>
      <w:r w:rsidR="00CC3D9D">
        <w:t>eighteen</w:t>
      </w:r>
      <w:r w:rsidR="00630589" w:rsidRPr="0076372D">
        <w:t xml:space="preserve"> SRGs has been conducted jointly by Pact and ICDP in which </w:t>
      </w:r>
      <w:r w:rsidR="007B2E24">
        <w:t xml:space="preserve">15 </w:t>
      </w:r>
      <w:r w:rsidR="007B2E24" w:rsidRPr="0076372D">
        <w:t>SRGs</w:t>
      </w:r>
      <w:r w:rsidR="00630589" w:rsidRPr="0076372D">
        <w:t xml:space="preserve"> </w:t>
      </w:r>
      <w:r w:rsidR="006918EE" w:rsidRPr="0076372D">
        <w:t xml:space="preserve">were </w:t>
      </w:r>
      <w:r w:rsidR="007B2E24" w:rsidRPr="0076372D">
        <w:t xml:space="preserve">deemed </w:t>
      </w:r>
      <w:r w:rsidR="007B2E24">
        <w:t>functioning</w:t>
      </w:r>
      <w:r w:rsidR="005152D0">
        <w:t xml:space="preserve"> </w:t>
      </w:r>
      <w:r w:rsidR="005152D0" w:rsidRPr="0076372D">
        <w:t>and</w:t>
      </w:r>
      <w:r w:rsidRPr="0076372D">
        <w:t xml:space="preserve"> </w:t>
      </w:r>
      <w:r w:rsidR="007B2E24">
        <w:t xml:space="preserve">three </w:t>
      </w:r>
      <w:r w:rsidR="007B2E24" w:rsidRPr="0076372D">
        <w:t>to</w:t>
      </w:r>
      <w:r w:rsidR="00314A4C" w:rsidRPr="0076372D">
        <w:t xml:space="preserve"> be</w:t>
      </w:r>
      <w:r w:rsidRPr="0076372D">
        <w:t xml:space="preserve"> </w:t>
      </w:r>
      <w:r w:rsidR="007B2E24">
        <w:t>weak</w:t>
      </w:r>
      <w:r w:rsidR="00630589" w:rsidRPr="0076372D">
        <w:t xml:space="preserve">. </w:t>
      </w:r>
      <w:r w:rsidR="00630589" w:rsidRPr="00AA6362">
        <w:t xml:space="preserve">Performance of </w:t>
      </w:r>
      <w:r w:rsidR="00314A4C" w:rsidRPr="00AA6362">
        <w:t xml:space="preserve">the </w:t>
      </w:r>
      <w:r w:rsidR="00630589" w:rsidRPr="00AA6362">
        <w:t xml:space="preserve">Joint Capacity Assessment </w:t>
      </w:r>
      <w:r w:rsidR="00314A4C" w:rsidRPr="00AA6362">
        <w:t xml:space="preserve">is </w:t>
      </w:r>
      <w:r w:rsidR="00630589" w:rsidRPr="00AA6362">
        <w:t>shown in Table (1).</w:t>
      </w:r>
      <w:r w:rsidR="007E6055" w:rsidRPr="00AA6362">
        <w:t xml:space="preserve">  The terms “self-reliant” and “functioning” denote the ability of the SRG to manage its affairs, not its level of financial security.</w:t>
      </w:r>
    </w:p>
    <w:p w:rsidR="00F910A0" w:rsidRDefault="00F910A0" w:rsidP="00936275">
      <w:pPr>
        <w:pStyle w:val="ListParagraph"/>
        <w:spacing w:before="120" w:after="120"/>
        <w:ind w:left="0"/>
        <w:contextualSpacing w:val="0"/>
        <w:jc w:val="both"/>
        <w:rPr>
          <w:b/>
        </w:rPr>
      </w:pPr>
    </w:p>
    <w:p w:rsidR="00630589" w:rsidRPr="00E72F4F" w:rsidRDefault="00F910A0" w:rsidP="00936275">
      <w:pPr>
        <w:pStyle w:val="ListParagraph"/>
        <w:spacing w:before="120" w:after="120"/>
        <w:ind w:left="0"/>
        <w:contextualSpacing w:val="0"/>
        <w:jc w:val="both"/>
      </w:pPr>
      <w:r w:rsidRPr="00E72F4F">
        <w:rPr>
          <w:b/>
          <w:noProof/>
        </w:rPr>
        <w:drawing>
          <wp:anchor distT="0" distB="0" distL="114300" distR="114300" simplePos="0" relativeHeight="251742208" behindDoc="1" locked="0" layoutInCell="1" allowOverlap="1" wp14:anchorId="1B22DDDE" wp14:editId="23A63FDA">
            <wp:simplePos x="0" y="0"/>
            <wp:positionH relativeFrom="column">
              <wp:posOffset>2596515</wp:posOffset>
            </wp:positionH>
            <wp:positionV relativeFrom="paragraph">
              <wp:posOffset>20320</wp:posOffset>
            </wp:positionV>
            <wp:extent cx="3013710" cy="2084705"/>
            <wp:effectExtent l="0" t="0" r="0" b="0"/>
            <wp:wrapTight wrapText="bothSides">
              <wp:wrapPolygon edited="0">
                <wp:start x="0" y="0"/>
                <wp:lineTo x="0" y="21317"/>
                <wp:lineTo x="21436" y="21317"/>
                <wp:lineTo x="21436" y="0"/>
                <wp:lineTo x="0" y="0"/>
              </wp:wrapPolygon>
            </wp:wrapTight>
            <wp:docPr id="16" name="Picture 16" descr="C:\Users\USAID\Desktop\SAM_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AID\Desktop\SAM_13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371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0FC" w:rsidRPr="00E72F4F">
        <w:rPr>
          <w:b/>
          <w:noProof/>
        </w:rPr>
        <mc:AlternateContent>
          <mc:Choice Requires="wps">
            <w:drawing>
              <wp:anchor distT="0" distB="0" distL="114300" distR="114300" simplePos="0" relativeHeight="251741184" behindDoc="0" locked="0" layoutInCell="1" allowOverlap="1" wp14:anchorId="7F09C551" wp14:editId="34E39DA0">
                <wp:simplePos x="0" y="0"/>
                <wp:positionH relativeFrom="column">
                  <wp:posOffset>2594225</wp:posOffset>
                </wp:positionH>
                <wp:positionV relativeFrom="paragraph">
                  <wp:posOffset>2263953</wp:posOffset>
                </wp:positionV>
                <wp:extent cx="3013710" cy="28575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37E" w:rsidRDefault="007A437E" w:rsidP="00630589">
                            <w:pPr>
                              <w:jc w:val="center"/>
                            </w:pPr>
                            <w:r>
                              <w:rPr>
                                <w:noProof/>
                              </w:rPr>
                              <w:t xml:space="preserve">Fig 1. </w:t>
                            </w:r>
                            <w:r w:rsidRPr="00C950D7">
                              <w:rPr>
                                <w:noProof/>
                              </w:rPr>
                              <w:t xml:space="preserve">A Capacity </w:t>
                            </w:r>
                            <w:r>
                              <w:rPr>
                                <w:noProof/>
                              </w:rPr>
                              <w:t>building training</w:t>
                            </w:r>
                            <w:r w:rsidRPr="00C950D7">
                              <w:rPr>
                                <w:noProof/>
                              </w:rPr>
                              <w:t xml:space="preserve"> in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4.25pt;margin-top:178.25pt;width:237.3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BC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" filled="f" stroked="f">
                <v:textbox>
                  <w:txbxContent>
                    <w:p w:rsidR="007A437E" w:rsidRDefault="007A437E" w:rsidP="00630589">
                      <w:pPr>
                        <w:jc w:val="center"/>
                      </w:pPr>
                      <w:r>
                        <w:rPr>
                          <w:noProof/>
                        </w:rPr>
                        <w:t xml:space="preserve">Fig 1. </w:t>
                      </w:r>
                      <w:r w:rsidRPr="00C950D7">
                        <w:rPr>
                          <w:noProof/>
                        </w:rPr>
                        <w:t xml:space="preserve">A Capacity </w:t>
                      </w:r>
                      <w:r>
                        <w:rPr>
                          <w:noProof/>
                        </w:rPr>
                        <w:t>building training</w:t>
                      </w:r>
                      <w:r w:rsidRPr="00C950D7">
                        <w:rPr>
                          <w:noProof/>
                        </w:rPr>
                        <w:t xml:space="preserve"> in Progress</w:t>
                      </w:r>
                    </w:p>
                  </w:txbxContent>
                </v:textbox>
                <w10:wrap type="square"/>
              </v:shape>
            </w:pict>
          </mc:Fallback>
        </mc:AlternateContent>
      </w:r>
      <w:r w:rsidR="00630589" w:rsidRPr="00E72F4F">
        <w:rPr>
          <w:b/>
        </w:rPr>
        <w:t>Capacity Building Training:</w:t>
      </w:r>
      <w:r w:rsidR="00630589" w:rsidRPr="00E72F4F">
        <w:t xml:space="preserve"> </w:t>
      </w:r>
      <w:r w:rsidR="00225890" w:rsidRPr="00E72F4F">
        <w:t xml:space="preserve">In </w:t>
      </w:r>
      <w:r w:rsidR="00630589" w:rsidRPr="00E72F4F">
        <w:t xml:space="preserve">addition to </w:t>
      </w:r>
      <w:r w:rsidR="00225890" w:rsidRPr="00E72F4F">
        <w:t xml:space="preserve">enhancing the </w:t>
      </w:r>
      <w:r w:rsidR="00314A4C" w:rsidRPr="00E72F4F">
        <w:t>capacity of</w:t>
      </w:r>
      <w:r w:rsidR="00630589" w:rsidRPr="00E72F4F">
        <w:t xml:space="preserve"> SRGs that would receive access to wholesale loans</w:t>
      </w:r>
      <w:r w:rsidR="00225890" w:rsidRPr="00E72F4F">
        <w:t>, MFP also built up the capacity of both ICDP and MFP project staff</w:t>
      </w:r>
      <w:r w:rsidR="00E72F4F" w:rsidRPr="00E72F4F">
        <w:t xml:space="preserve">. </w:t>
      </w:r>
      <w:r w:rsidR="00630589" w:rsidRPr="00E72F4F">
        <w:t>A series of training-cum-workshop</w:t>
      </w:r>
      <w:r w:rsidR="00314A4C" w:rsidRPr="00E72F4F">
        <w:t>s</w:t>
      </w:r>
      <w:r w:rsidR="00630589" w:rsidRPr="00E72F4F">
        <w:t xml:space="preserve"> and meeting</w:t>
      </w:r>
      <w:r w:rsidR="00314A4C" w:rsidRPr="00E72F4F">
        <w:t>s</w:t>
      </w:r>
      <w:r w:rsidR="00630589" w:rsidRPr="00E72F4F">
        <w:t xml:space="preserve"> w</w:t>
      </w:r>
      <w:r w:rsidR="00314A4C" w:rsidRPr="00E72F4F">
        <w:t>ere</w:t>
      </w:r>
      <w:r w:rsidR="00630589" w:rsidRPr="00E72F4F">
        <w:t xml:space="preserve"> conducted for the staff to </w:t>
      </w:r>
      <w:r w:rsidR="00314A4C" w:rsidRPr="00E72F4F">
        <w:t>discuss</w:t>
      </w:r>
      <w:r w:rsidR="00630589" w:rsidRPr="00E72F4F">
        <w:t xml:space="preserve"> the concept, methodology, </w:t>
      </w:r>
      <w:r w:rsidR="00314A4C" w:rsidRPr="00E72F4F">
        <w:t xml:space="preserve">and </w:t>
      </w:r>
      <w:r w:rsidR="00630589" w:rsidRPr="00E72F4F">
        <w:t xml:space="preserve">process of SRG-MF linkage program as a whole, convincing them that the program is a necessity to provide capital assistance to the SRGs. </w:t>
      </w:r>
    </w:p>
    <w:p w:rsidR="00630589" w:rsidRDefault="00630589" w:rsidP="00936275">
      <w:pPr>
        <w:tabs>
          <w:tab w:val="left" w:pos="720"/>
          <w:tab w:val="left" w:pos="7488"/>
        </w:tabs>
        <w:spacing w:before="120" w:after="120"/>
        <w:jc w:val="both"/>
        <w:rPr>
          <w:color w:val="FF0000"/>
        </w:rPr>
      </w:pPr>
    </w:p>
    <w:p w:rsidR="00F910A0" w:rsidRPr="00FA7A76" w:rsidRDefault="00F910A0" w:rsidP="00936275">
      <w:pPr>
        <w:tabs>
          <w:tab w:val="left" w:pos="720"/>
          <w:tab w:val="left" w:pos="7488"/>
        </w:tabs>
        <w:spacing w:before="120" w:after="120"/>
        <w:jc w:val="both"/>
        <w:rPr>
          <w:color w:val="FF0000"/>
        </w:rPr>
      </w:pPr>
      <w:r w:rsidRPr="00936275">
        <w:rPr>
          <w:noProof/>
        </w:rPr>
        <w:drawing>
          <wp:anchor distT="0" distB="0" distL="114300" distR="114300" simplePos="0" relativeHeight="251743232" behindDoc="1" locked="0" layoutInCell="1" allowOverlap="1" wp14:anchorId="0FE40C68" wp14:editId="3ABCBD62">
            <wp:simplePos x="0" y="0"/>
            <wp:positionH relativeFrom="column">
              <wp:posOffset>2592070</wp:posOffset>
            </wp:positionH>
            <wp:positionV relativeFrom="paragraph">
              <wp:posOffset>236855</wp:posOffset>
            </wp:positionV>
            <wp:extent cx="3020695" cy="2091690"/>
            <wp:effectExtent l="0" t="0" r="8255" b="3810"/>
            <wp:wrapTight wrapText="bothSides">
              <wp:wrapPolygon edited="0">
                <wp:start x="0" y="0"/>
                <wp:lineTo x="0" y="21443"/>
                <wp:lineTo x="21523" y="21443"/>
                <wp:lineTo x="21523" y="0"/>
                <wp:lineTo x="0" y="0"/>
              </wp:wrapPolygon>
            </wp:wrapTight>
            <wp:docPr id="17" name="Content Placeholder 3" descr="IMG_047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Content Placeholder 3" descr="IMG_0471.JPG"/>
                    <pic:cNvPicPr>
                      <a:picLocks noGrp="1"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20695" cy="2091690"/>
                    </a:xfrm>
                    <a:prstGeom prst="rect">
                      <a:avLst/>
                    </a:prstGeom>
                  </pic:spPr>
                </pic:pic>
              </a:graphicData>
            </a:graphic>
            <wp14:sizeRelH relativeFrom="page">
              <wp14:pctWidth>0</wp14:pctWidth>
            </wp14:sizeRelH>
            <wp14:sizeRelV relativeFrom="page">
              <wp14:pctHeight>0</wp14:pctHeight>
            </wp14:sizeRelV>
          </wp:anchor>
        </w:drawing>
      </w:r>
    </w:p>
    <w:p w:rsidR="00630589" w:rsidRPr="00936275" w:rsidRDefault="00630589" w:rsidP="00F910A0">
      <w:pPr>
        <w:pStyle w:val="ListParagraph"/>
        <w:spacing w:before="120" w:after="120"/>
        <w:ind w:left="0" w:firstLine="720"/>
        <w:contextualSpacing w:val="0"/>
        <w:jc w:val="both"/>
      </w:pPr>
      <w:r w:rsidRPr="00936275">
        <w:t xml:space="preserve">After performing </w:t>
      </w:r>
      <w:r w:rsidR="00314A4C" w:rsidRPr="00936275">
        <w:t xml:space="preserve">a </w:t>
      </w:r>
      <w:r w:rsidRPr="00936275">
        <w:t>capacity assessment to identify viable SRGs</w:t>
      </w:r>
      <w:r w:rsidR="00314A4C" w:rsidRPr="00936275">
        <w:t>,</w:t>
      </w:r>
      <w:r w:rsidRPr="00936275">
        <w:t xml:space="preserve"> PACT provided training on loan management to SRGs which </w:t>
      </w:r>
      <w:r w:rsidR="00314A4C" w:rsidRPr="00936275">
        <w:t>qualified</w:t>
      </w:r>
      <w:r w:rsidRPr="00936275">
        <w:t xml:space="preserve"> for wholesale loans. </w:t>
      </w:r>
      <w:r w:rsidR="00314A4C" w:rsidRPr="00936275">
        <w:t>Fo</w:t>
      </w:r>
      <w:r w:rsidR="0008427F">
        <w:t>rty two</w:t>
      </w:r>
      <w:r w:rsidR="00D47333">
        <w:t xml:space="preserve"> participants from</w:t>
      </w:r>
      <w:r w:rsidR="0008427F">
        <w:t xml:space="preserve"> 21 </w:t>
      </w:r>
      <w:r w:rsidR="0008427F" w:rsidRPr="00936275">
        <w:t>SRGs</w:t>
      </w:r>
      <w:r w:rsidRPr="00936275">
        <w:t xml:space="preserve"> participated</w:t>
      </w:r>
      <w:r w:rsidR="0066591A" w:rsidRPr="00936275">
        <w:t xml:space="preserve"> during the reporting period</w:t>
      </w:r>
      <w:r w:rsidRPr="00936275">
        <w:t>. Training cover</w:t>
      </w:r>
      <w:r w:rsidR="00314A4C" w:rsidRPr="00936275">
        <w:t>ed</w:t>
      </w:r>
      <w:r w:rsidRPr="00936275">
        <w:t xml:space="preserve"> cash flow forecasting, feasibility assessment, selecting viable businesses and recordkeeping. </w:t>
      </w:r>
    </w:p>
    <w:p w:rsidR="00630589" w:rsidRPr="00FA7A76" w:rsidRDefault="00630589" w:rsidP="0066591A">
      <w:pPr>
        <w:pStyle w:val="ListParagraph"/>
        <w:spacing w:before="120" w:after="120"/>
        <w:ind w:left="0"/>
        <w:contextualSpacing w:val="0"/>
        <w:jc w:val="both"/>
        <w:rPr>
          <w:color w:val="FF0000"/>
        </w:rPr>
      </w:pPr>
    </w:p>
    <w:p w:rsidR="00BA024A" w:rsidRPr="00FA7A76" w:rsidRDefault="00204E69" w:rsidP="00630589">
      <w:pPr>
        <w:pStyle w:val="ListParagraph"/>
        <w:spacing w:after="0" w:line="240" w:lineRule="auto"/>
        <w:jc w:val="both"/>
        <w:rPr>
          <w:color w:val="FF0000"/>
        </w:rPr>
      </w:pPr>
      <w:r w:rsidRPr="00FA7A76">
        <w:rPr>
          <w:noProof/>
          <w:color w:val="FF0000"/>
        </w:rPr>
        <mc:AlternateContent>
          <mc:Choice Requires="wps">
            <w:drawing>
              <wp:anchor distT="0" distB="0" distL="114300" distR="114300" simplePos="0" relativeHeight="251740160" behindDoc="0" locked="0" layoutInCell="1" allowOverlap="1" wp14:anchorId="156BE1E3" wp14:editId="66C586B2">
                <wp:simplePos x="0" y="0"/>
                <wp:positionH relativeFrom="column">
                  <wp:posOffset>2602230</wp:posOffset>
                </wp:positionH>
                <wp:positionV relativeFrom="paragraph">
                  <wp:posOffset>107315</wp:posOffset>
                </wp:positionV>
                <wp:extent cx="2968625" cy="28575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37E" w:rsidRPr="00BA024A" w:rsidRDefault="007A437E" w:rsidP="00D679D8">
                            <w:pPr>
                              <w:jc w:val="both"/>
                            </w:pPr>
                            <w:r>
                              <w:t xml:space="preserve">     </w:t>
                            </w:r>
                            <w:proofErr w:type="gramStart"/>
                            <w:r w:rsidRPr="00BA024A">
                              <w:t>Fig 2.</w:t>
                            </w:r>
                            <w:proofErr w:type="gramEnd"/>
                            <w:r w:rsidRPr="00BA024A">
                              <w:t xml:space="preserve"> A Capacity Assessment in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4.9pt;margin-top:8.45pt;width:233.7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" filled="f" stroked="f">
                <v:textbox>
                  <w:txbxContent>
                    <w:p w:rsidR="007A437E" w:rsidRPr="00BA024A" w:rsidRDefault="007A437E" w:rsidP="00D679D8">
                      <w:pPr>
                        <w:jc w:val="both"/>
                      </w:pPr>
                      <w:r>
                        <w:t xml:space="preserve">     </w:t>
                      </w:r>
                      <w:proofErr w:type="gramStart"/>
                      <w:r w:rsidRPr="00BA024A">
                        <w:t>Fig 2.</w:t>
                      </w:r>
                      <w:proofErr w:type="gramEnd"/>
                      <w:r w:rsidRPr="00BA024A">
                        <w:t xml:space="preserve"> A Capacity Assessment in Progress</w:t>
                      </w:r>
                    </w:p>
                  </w:txbxContent>
                </v:textbox>
              </v:shape>
            </w:pict>
          </mc:Fallback>
        </mc:AlternateContent>
      </w:r>
    </w:p>
    <w:p w:rsidR="00314A4C" w:rsidRDefault="00314A4C" w:rsidP="00314A4C">
      <w:pPr>
        <w:spacing w:after="120" w:line="240" w:lineRule="auto"/>
        <w:rPr>
          <w:b/>
          <w:color w:val="FF0000"/>
        </w:rPr>
      </w:pPr>
    </w:p>
    <w:p w:rsidR="00936275" w:rsidRDefault="00936275" w:rsidP="00314A4C">
      <w:pPr>
        <w:spacing w:after="120" w:line="240" w:lineRule="auto"/>
        <w:rPr>
          <w:b/>
          <w:color w:val="FF0000"/>
        </w:rPr>
      </w:pPr>
    </w:p>
    <w:p w:rsidR="00F910A0" w:rsidRDefault="00F910A0" w:rsidP="00B453DB">
      <w:pPr>
        <w:pStyle w:val="ListParagraph"/>
        <w:spacing w:before="120" w:after="120"/>
        <w:ind w:left="0"/>
        <w:contextualSpacing w:val="0"/>
        <w:jc w:val="both"/>
        <w:rPr>
          <w:b/>
        </w:rPr>
      </w:pPr>
    </w:p>
    <w:p w:rsidR="00630589" w:rsidRPr="00245191" w:rsidRDefault="00245191" w:rsidP="00B453DB">
      <w:pPr>
        <w:pStyle w:val="ListParagraph"/>
        <w:spacing w:before="120" w:after="120"/>
        <w:ind w:left="0"/>
        <w:contextualSpacing w:val="0"/>
        <w:jc w:val="both"/>
        <w:rPr>
          <w:b/>
        </w:rPr>
      </w:pPr>
      <w:r>
        <w:rPr>
          <w:b/>
        </w:rPr>
        <w:t xml:space="preserve">First </w:t>
      </w:r>
      <w:r w:rsidR="00630589" w:rsidRPr="00245191">
        <w:rPr>
          <w:b/>
        </w:rPr>
        <w:t xml:space="preserve">Wholesale Loan Delivery: </w:t>
      </w:r>
    </w:p>
    <w:p w:rsidR="00942040" w:rsidRDefault="00630589" w:rsidP="00F910A0">
      <w:pPr>
        <w:pStyle w:val="ListParagraph"/>
        <w:spacing w:before="120" w:after="120"/>
        <w:ind w:left="0" w:firstLine="720"/>
        <w:contextualSpacing w:val="0"/>
        <w:jc w:val="both"/>
      </w:pPr>
      <w:r w:rsidRPr="00245191">
        <w:t>The first loan of 1.5 million</w:t>
      </w:r>
      <w:r w:rsidR="00096272" w:rsidRPr="00245191">
        <w:t xml:space="preserve"> Kyats</w:t>
      </w:r>
      <w:r w:rsidRPr="00245191">
        <w:t xml:space="preserve"> (</w:t>
      </w:r>
      <w:r w:rsidR="00225890" w:rsidRPr="00245191">
        <w:t>$</w:t>
      </w:r>
      <w:r w:rsidRPr="00245191">
        <w:t>1,718) was delivered to</w:t>
      </w:r>
      <w:r w:rsidR="00F206A5" w:rsidRPr="00245191">
        <w:t xml:space="preserve"> the</w:t>
      </w:r>
      <w:r w:rsidRPr="00245191">
        <w:t xml:space="preserve"> SRG</w:t>
      </w:r>
      <w:r w:rsidR="00F206A5" w:rsidRPr="00245191">
        <w:t>,</w:t>
      </w:r>
      <w:r w:rsidRPr="00245191">
        <w:t xml:space="preserve"> “Inn </w:t>
      </w:r>
      <w:proofErr w:type="spellStart"/>
      <w:r w:rsidRPr="00245191">
        <w:t>Gyin</w:t>
      </w:r>
      <w:proofErr w:type="spellEnd"/>
      <w:r w:rsidRPr="00245191">
        <w:t xml:space="preserve"> May” in the </w:t>
      </w:r>
      <w:proofErr w:type="spellStart"/>
      <w:r w:rsidRPr="00245191">
        <w:t>Myit</w:t>
      </w:r>
      <w:proofErr w:type="spellEnd"/>
      <w:r w:rsidRPr="00245191">
        <w:t xml:space="preserve"> Tan </w:t>
      </w:r>
      <w:r w:rsidR="004E7A37" w:rsidRPr="00245191">
        <w:t>V</w:t>
      </w:r>
      <w:r w:rsidRPr="00245191">
        <w:t xml:space="preserve">illage of </w:t>
      </w:r>
      <w:proofErr w:type="spellStart"/>
      <w:r w:rsidRPr="00245191">
        <w:t>Bogalay</w:t>
      </w:r>
      <w:proofErr w:type="spellEnd"/>
      <w:r w:rsidRPr="00245191">
        <w:t xml:space="preserve"> </w:t>
      </w:r>
      <w:r w:rsidR="004E7A37" w:rsidRPr="00245191">
        <w:t>T</w:t>
      </w:r>
      <w:r w:rsidRPr="00245191">
        <w:t xml:space="preserve">ownship on 29 December, 2011. With a view to avoiding </w:t>
      </w:r>
      <w:r w:rsidR="00225890" w:rsidRPr="00245191">
        <w:t>excessive loan burden</w:t>
      </w:r>
      <w:r w:rsidRPr="00245191">
        <w:t>, SRG member</w:t>
      </w:r>
      <w:r w:rsidR="00B867BB" w:rsidRPr="00245191">
        <w:t>s</w:t>
      </w:r>
      <w:r w:rsidRPr="00245191">
        <w:t xml:space="preserve"> </w:t>
      </w:r>
      <w:r w:rsidR="00B867BB" w:rsidRPr="00245191">
        <w:t>were</w:t>
      </w:r>
      <w:r w:rsidRPr="00245191">
        <w:t xml:space="preserve"> allowed to choose only one loan; either </w:t>
      </w:r>
      <w:r w:rsidR="00225890" w:rsidRPr="00245191">
        <w:t>a loan</w:t>
      </w:r>
      <w:r w:rsidR="00062ED8" w:rsidRPr="00245191">
        <w:t xml:space="preserve"> </w:t>
      </w:r>
      <w:r w:rsidR="00225890" w:rsidRPr="00245191">
        <w:t xml:space="preserve">from the common fund (CFL) </w:t>
      </w:r>
      <w:r w:rsidRPr="00245191">
        <w:t xml:space="preserve">or </w:t>
      </w:r>
      <w:r w:rsidR="00225890" w:rsidRPr="00245191">
        <w:t>a wholesale loan (WSL)</w:t>
      </w:r>
      <w:r w:rsidRPr="00245191">
        <w:t xml:space="preserve">. In the case of Inn </w:t>
      </w:r>
      <w:proofErr w:type="spellStart"/>
      <w:r w:rsidRPr="00245191">
        <w:t>Gyin</w:t>
      </w:r>
      <w:proofErr w:type="spellEnd"/>
      <w:r w:rsidRPr="00245191">
        <w:t xml:space="preserve"> May</w:t>
      </w:r>
      <w:r w:rsidR="00062ED8" w:rsidRPr="00245191">
        <w:t xml:space="preserve"> SRG</w:t>
      </w:r>
      <w:r w:rsidRPr="00245191">
        <w:t xml:space="preserve">, it was found that only 2 SRGs member were entitled </w:t>
      </w:r>
      <w:r w:rsidR="00225890" w:rsidRPr="00245191">
        <w:t xml:space="preserve">to </w:t>
      </w:r>
      <w:r w:rsidRPr="00245191">
        <w:t>WSL.</w:t>
      </w:r>
      <w:r w:rsidR="00812C3A">
        <w:t xml:space="preserve"> </w:t>
      </w:r>
      <w:r w:rsidRPr="00245191">
        <w:t>They we</w:t>
      </w:r>
      <w:r w:rsidR="004C1C17" w:rsidRPr="00245191">
        <w:t>re</w:t>
      </w:r>
      <w:r w:rsidRPr="00245191">
        <w:t xml:space="preserve"> successful in their businesses and faced no difficulties in repaying loans in 10 equal bi-weekly installments as</w:t>
      </w:r>
      <w:r w:rsidR="004C1C17" w:rsidRPr="00245191">
        <w:t xml:space="preserve"> per</w:t>
      </w:r>
      <w:r w:rsidRPr="00245191">
        <w:t xml:space="preserve"> agreed under loan contract. Since then more wholesale loans </w:t>
      </w:r>
      <w:r w:rsidR="00853B11" w:rsidRPr="00245191">
        <w:t>were provided to viable SRGs</w:t>
      </w:r>
      <w:r w:rsidR="00B867BB" w:rsidRPr="00245191">
        <w:t xml:space="preserve">. </w:t>
      </w:r>
    </w:p>
    <w:p w:rsidR="0061605B" w:rsidRDefault="00B867BB" w:rsidP="0061605B">
      <w:pPr>
        <w:pStyle w:val="ListParagraph"/>
        <w:spacing w:before="120" w:after="120"/>
        <w:ind w:left="0" w:firstLine="720"/>
        <w:contextualSpacing w:val="0"/>
        <w:jc w:val="both"/>
      </w:pPr>
      <w:r w:rsidRPr="00245191">
        <w:t>D</w:t>
      </w:r>
      <w:r w:rsidR="00853B11" w:rsidRPr="00245191">
        <w:t xml:space="preserve">uring the </w:t>
      </w:r>
      <w:r w:rsidR="00245191" w:rsidRPr="00245191">
        <w:t>4</w:t>
      </w:r>
      <w:r w:rsidR="00245191" w:rsidRPr="00245191">
        <w:rPr>
          <w:vertAlign w:val="superscript"/>
        </w:rPr>
        <w:t>th</w:t>
      </w:r>
      <w:r w:rsidR="00245191" w:rsidRPr="00245191">
        <w:t xml:space="preserve"> </w:t>
      </w:r>
      <w:r w:rsidRPr="00245191">
        <w:t xml:space="preserve"> </w:t>
      </w:r>
      <w:r w:rsidR="00853B11" w:rsidRPr="00245191">
        <w:t>quarter of 2013</w:t>
      </w:r>
      <w:r w:rsidR="00062ED8" w:rsidRPr="00245191">
        <w:t xml:space="preserve"> </w:t>
      </w:r>
      <w:r w:rsidRPr="00245191">
        <w:t>(</w:t>
      </w:r>
      <w:r w:rsidR="00245191" w:rsidRPr="00245191">
        <w:t>July-Sep</w:t>
      </w:r>
      <w:r w:rsidRPr="00245191">
        <w:t>)</w:t>
      </w:r>
      <w:r w:rsidR="00853B11" w:rsidRPr="00245191">
        <w:t xml:space="preserve">, </w:t>
      </w:r>
      <w:r w:rsidRPr="00245191">
        <w:t>wholesale loans amounting to</w:t>
      </w:r>
      <w:r w:rsidR="00245191" w:rsidRPr="00245191">
        <w:t xml:space="preserve"> 154.8</w:t>
      </w:r>
      <w:r w:rsidRPr="00245191">
        <w:t xml:space="preserve"> million Kyat ha</w:t>
      </w:r>
      <w:r w:rsidR="0067585F" w:rsidRPr="00245191">
        <w:t>ve</w:t>
      </w:r>
      <w:r w:rsidRPr="00245191">
        <w:t xml:space="preserve"> been provided to </w:t>
      </w:r>
      <w:r w:rsidR="00245191">
        <w:t>93</w:t>
      </w:r>
      <w:r w:rsidRPr="00FA7A76">
        <w:rPr>
          <w:color w:val="FF0000"/>
        </w:rPr>
        <w:t xml:space="preserve"> </w:t>
      </w:r>
      <w:r w:rsidRPr="00245191">
        <w:t xml:space="preserve">viable SRGs , </w:t>
      </w:r>
      <w:r w:rsidR="00245191">
        <w:t>36</w:t>
      </w:r>
      <w:r w:rsidRPr="00FA7A76">
        <w:rPr>
          <w:color w:val="FF0000"/>
        </w:rPr>
        <w:t xml:space="preserve"> </w:t>
      </w:r>
      <w:r w:rsidRPr="00245191">
        <w:t xml:space="preserve">SRGs received </w:t>
      </w:r>
      <w:r w:rsidR="00181C63" w:rsidRPr="00245191">
        <w:t xml:space="preserve">Ks. </w:t>
      </w:r>
      <w:r w:rsidR="00245191" w:rsidRPr="00245191">
        <w:t>32.8</w:t>
      </w:r>
      <w:r w:rsidRPr="00245191">
        <w:t xml:space="preserve"> million for 1</w:t>
      </w:r>
      <w:r w:rsidRPr="00245191">
        <w:rPr>
          <w:vertAlign w:val="superscript"/>
        </w:rPr>
        <w:t>st</w:t>
      </w:r>
      <w:r w:rsidRPr="00245191">
        <w:t xml:space="preserve"> cycle loan</w:t>
      </w:r>
      <w:r w:rsidR="0067585F" w:rsidRPr="00245191">
        <w:t>,</w:t>
      </w:r>
      <w:r w:rsidRPr="00245191">
        <w:t xml:space="preserve"> </w:t>
      </w:r>
      <w:r w:rsidR="00245191" w:rsidRPr="00245191">
        <w:t>40</w:t>
      </w:r>
      <w:r w:rsidRPr="00245191">
        <w:t xml:space="preserve"> received Ks. </w:t>
      </w:r>
      <w:r w:rsidR="00245191" w:rsidRPr="00245191">
        <w:t>70</w:t>
      </w:r>
      <w:r w:rsidRPr="00245191">
        <w:t xml:space="preserve"> million as second cycle</w:t>
      </w:r>
      <w:r w:rsidR="0067585F" w:rsidRPr="00245191">
        <w:t xml:space="preserve">, </w:t>
      </w:r>
      <w:r w:rsidRPr="00DD62E5">
        <w:t>1</w:t>
      </w:r>
      <w:r w:rsidR="00DD62E5" w:rsidRPr="00DD62E5">
        <w:t>1</w:t>
      </w:r>
      <w:r w:rsidRPr="00DD62E5">
        <w:t xml:space="preserve"> received Ks. </w:t>
      </w:r>
      <w:r w:rsidR="00DD62E5" w:rsidRPr="00DD62E5">
        <w:t>31.3</w:t>
      </w:r>
      <w:r w:rsidRPr="00DD62E5">
        <w:t xml:space="preserve"> million as third cycle</w:t>
      </w:r>
      <w:r w:rsidR="0067585F" w:rsidRPr="00DD62E5">
        <w:t>,</w:t>
      </w:r>
      <w:r w:rsidRPr="00DD62E5">
        <w:t xml:space="preserve"> and </w:t>
      </w:r>
      <w:r w:rsidR="00DD62E5" w:rsidRPr="00DD62E5">
        <w:t>6</w:t>
      </w:r>
      <w:r w:rsidRPr="00DD62E5">
        <w:t xml:space="preserve"> received Ks. </w:t>
      </w:r>
      <w:r w:rsidR="00DD62E5" w:rsidRPr="00DD62E5">
        <w:t>20</w:t>
      </w:r>
      <w:r w:rsidRPr="00DD62E5">
        <w:t>.7 million as forth cycle. See township wise d</w:t>
      </w:r>
      <w:r w:rsidR="00245191" w:rsidRPr="00DD62E5">
        <w:t xml:space="preserve">etails in </w:t>
      </w:r>
      <w:r w:rsidR="0061605B">
        <w:t xml:space="preserve">table (3). </w:t>
      </w:r>
    </w:p>
    <w:p w:rsidR="00F910A0" w:rsidRDefault="00F910A0" w:rsidP="0061605B">
      <w:pPr>
        <w:pStyle w:val="ListParagraph"/>
        <w:spacing w:before="120" w:after="120"/>
        <w:ind w:left="0" w:firstLine="720"/>
        <w:contextualSpacing w:val="0"/>
        <w:jc w:val="both"/>
      </w:pPr>
    </w:p>
    <w:p w:rsidR="00030E27" w:rsidRDefault="00030E27" w:rsidP="00B453DB">
      <w:pPr>
        <w:pStyle w:val="ListParagraph"/>
        <w:spacing w:after="120"/>
        <w:ind w:left="0" w:firstLine="720"/>
        <w:contextualSpacing w:val="0"/>
        <w:jc w:val="both"/>
        <w:rPr>
          <w:color w:val="FF0000"/>
        </w:rPr>
      </w:pPr>
    </w:p>
    <w:p w:rsidR="00030E27" w:rsidRPr="00FA7A76" w:rsidRDefault="00030E27" w:rsidP="00B453DB">
      <w:pPr>
        <w:pStyle w:val="ListParagraph"/>
        <w:spacing w:after="120"/>
        <w:ind w:left="0" w:firstLine="720"/>
        <w:contextualSpacing w:val="0"/>
        <w:jc w:val="both"/>
        <w:rPr>
          <w:color w:val="FF0000"/>
        </w:rPr>
      </w:pPr>
    </w:p>
    <w:p w:rsidR="00BD1957" w:rsidRDefault="004E7A37" w:rsidP="00B453DB">
      <w:pPr>
        <w:rPr>
          <w:b/>
        </w:rPr>
      </w:pPr>
      <w:r w:rsidRPr="00BD1957">
        <w:rPr>
          <w:b/>
        </w:rPr>
        <w:t>Fig. 4 Loan Utilization</w:t>
      </w:r>
    </w:p>
    <w:p w:rsidR="00630589" w:rsidRPr="00FA7A76" w:rsidRDefault="00030E27" w:rsidP="00BD1957">
      <w:pPr>
        <w:jc w:val="both"/>
        <w:rPr>
          <w:b/>
          <w:color w:val="FF0000"/>
          <w:sz w:val="24"/>
          <w:szCs w:val="24"/>
        </w:rPr>
      </w:pPr>
      <w:r w:rsidRPr="00BD1957">
        <w:rPr>
          <w:rFonts w:cs="Calibri"/>
          <w:b/>
          <w:noProof/>
          <w:sz w:val="16"/>
          <w:szCs w:val="16"/>
        </w:rPr>
        <w:drawing>
          <wp:anchor distT="0" distB="0" distL="114300" distR="114300" simplePos="0" relativeHeight="251751424" behindDoc="1" locked="0" layoutInCell="1" allowOverlap="1" wp14:anchorId="6BEF2E51" wp14:editId="51D0C339">
            <wp:simplePos x="0" y="0"/>
            <wp:positionH relativeFrom="column">
              <wp:posOffset>-78740</wp:posOffset>
            </wp:positionH>
            <wp:positionV relativeFrom="paragraph">
              <wp:posOffset>-687070</wp:posOffset>
            </wp:positionV>
            <wp:extent cx="3480435" cy="1875790"/>
            <wp:effectExtent l="0" t="0" r="24765" b="10160"/>
            <wp:wrapTight wrapText="bothSides">
              <wp:wrapPolygon edited="0">
                <wp:start x="0" y="0"/>
                <wp:lineTo x="0" y="21498"/>
                <wp:lineTo x="21635" y="21498"/>
                <wp:lineTo x="21635"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62ED8" w:rsidRPr="00BD1957">
        <w:rPr>
          <w:b/>
        </w:rPr>
        <w:t xml:space="preserve"> </w:t>
      </w:r>
      <w:r w:rsidR="00BD1957">
        <w:t xml:space="preserve">In </w:t>
      </w:r>
      <w:r w:rsidR="00BD1957" w:rsidRPr="00A1768C">
        <w:t xml:space="preserve">Delta </w:t>
      </w:r>
      <w:r w:rsidR="00BD1957">
        <w:t>Region</w:t>
      </w:r>
      <w:r w:rsidR="00BD1957" w:rsidRPr="00A1768C">
        <w:t xml:space="preserve">, </w:t>
      </w:r>
      <w:r w:rsidR="00942040">
        <w:t>SRG clients are involved in</w:t>
      </w:r>
      <w:r w:rsidR="00BD1957">
        <w:t xml:space="preserve"> </w:t>
      </w:r>
      <w:r w:rsidR="00BD1957" w:rsidRPr="00A1768C">
        <w:t>agriculture</w:t>
      </w:r>
      <w:r w:rsidR="00BD1957">
        <w:t>, fishing</w:t>
      </w:r>
      <w:r w:rsidR="001F6855">
        <w:t xml:space="preserve"> and animal husbandry</w:t>
      </w:r>
      <w:r w:rsidR="00BD1957">
        <w:t>, trading,</w:t>
      </w:r>
      <w:r w:rsidR="00812C3A">
        <w:t xml:space="preserve"> </w:t>
      </w:r>
      <w:r w:rsidR="001F6855">
        <w:t>and services.</w:t>
      </w:r>
    </w:p>
    <w:p w:rsidR="00630589" w:rsidRDefault="00853B11" w:rsidP="00630589">
      <w:pPr>
        <w:pStyle w:val="ListParagraph"/>
        <w:spacing w:after="120" w:line="240" w:lineRule="auto"/>
        <w:ind w:left="0"/>
        <w:contextualSpacing w:val="0"/>
        <w:jc w:val="both"/>
        <w:rPr>
          <w:color w:val="FF0000"/>
        </w:rPr>
      </w:pPr>
      <w:r w:rsidRPr="00FA7A76">
        <w:rPr>
          <w:color w:val="FF0000"/>
        </w:rPr>
        <w:t xml:space="preserve"> </w:t>
      </w:r>
    </w:p>
    <w:p w:rsidR="0008427F" w:rsidRDefault="0008427F" w:rsidP="00630589">
      <w:pPr>
        <w:pStyle w:val="ListParagraph"/>
        <w:spacing w:after="120" w:line="240" w:lineRule="auto"/>
        <w:ind w:left="0"/>
        <w:contextualSpacing w:val="0"/>
        <w:jc w:val="both"/>
        <w:rPr>
          <w:color w:val="FF0000"/>
        </w:rPr>
      </w:pPr>
    </w:p>
    <w:p w:rsidR="0008427F" w:rsidRPr="00FA7A76" w:rsidRDefault="0008427F" w:rsidP="00630589">
      <w:pPr>
        <w:pStyle w:val="ListParagraph"/>
        <w:spacing w:after="120" w:line="240" w:lineRule="auto"/>
        <w:ind w:left="0"/>
        <w:contextualSpacing w:val="0"/>
        <w:jc w:val="both"/>
        <w:rPr>
          <w:b/>
          <w:color w:val="FF0000"/>
        </w:rPr>
      </w:pPr>
    </w:p>
    <w:p w:rsidR="00D30CDE" w:rsidRPr="00BD1957" w:rsidRDefault="00D30CDE" w:rsidP="00D30CDE">
      <w:r w:rsidRPr="00BD1957">
        <w:rPr>
          <w:b/>
          <w:sz w:val="24"/>
        </w:rPr>
        <w:t>E. Accomplishments against Expected Outputs:</w:t>
      </w:r>
      <w:r w:rsidRPr="00BD1957">
        <w:rPr>
          <w:b/>
        </w:rPr>
        <w:t xml:space="preserve"> </w:t>
      </w:r>
      <w:r w:rsidRPr="00BD1957">
        <w:t>(Please refer Annex C)</w:t>
      </w:r>
    </w:p>
    <w:p w:rsidR="00D30CDE" w:rsidRPr="001F2036" w:rsidRDefault="00D30CDE" w:rsidP="00D30CDE">
      <w:pPr>
        <w:spacing w:after="0" w:line="240" w:lineRule="auto"/>
        <w:jc w:val="both"/>
        <w:rPr>
          <w:b/>
          <w:sz w:val="24"/>
        </w:rPr>
      </w:pPr>
      <w:r w:rsidRPr="001F2036">
        <w:rPr>
          <w:b/>
          <w:sz w:val="24"/>
        </w:rPr>
        <w:t>F.</w:t>
      </w:r>
      <w:r w:rsidRPr="00FA7A76">
        <w:rPr>
          <w:b/>
          <w:color w:val="FF0000"/>
          <w:sz w:val="24"/>
        </w:rPr>
        <w:tab/>
      </w:r>
      <w:r w:rsidRPr="001F2036">
        <w:rPr>
          <w:b/>
          <w:sz w:val="24"/>
        </w:rPr>
        <w:t>Human Resources:</w:t>
      </w:r>
    </w:p>
    <w:p w:rsidR="00D30CDE" w:rsidRPr="001F2036" w:rsidRDefault="00D30CDE" w:rsidP="00922801">
      <w:pPr>
        <w:pStyle w:val="ListParagraph"/>
        <w:spacing w:before="120" w:after="120"/>
        <w:ind w:left="0" w:firstLine="720"/>
        <w:contextualSpacing w:val="0"/>
        <w:jc w:val="both"/>
      </w:pPr>
      <w:r w:rsidRPr="001F2036">
        <w:t xml:space="preserve">As a new loan product for the Delta Region, </w:t>
      </w:r>
      <w:r w:rsidR="003850E7" w:rsidRPr="001F2036">
        <w:t xml:space="preserve">a </w:t>
      </w:r>
      <w:r w:rsidRPr="001F2036">
        <w:t xml:space="preserve">different methodology was </w:t>
      </w:r>
      <w:r w:rsidR="0067585F" w:rsidRPr="001F2036">
        <w:t xml:space="preserve">utilized </w:t>
      </w:r>
      <w:r w:rsidRPr="001F2036">
        <w:t xml:space="preserve">to provide </w:t>
      </w:r>
      <w:r w:rsidR="0067585F" w:rsidRPr="001F2036">
        <w:t xml:space="preserve">the </w:t>
      </w:r>
      <w:r w:rsidRPr="001F2036">
        <w:t>wholesale loans. Separate branches have been set up in each of the three townships to boost the performance and to ensure timely accomplishment of</w:t>
      </w:r>
      <w:r w:rsidR="0060327F" w:rsidRPr="001F2036">
        <w:t xml:space="preserve"> targets. A total of twenty-one</w:t>
      </w:r>
      <w:r w:rsidRPr="001F2036">
        <w:t xml:space="preserve"> (2</w:t>
      </w:r>
      <w:r w:rsidR="00DD67F2" w:rsidRPr="001F2036">
        <w:t>1</w:t>
      </w:r>
      <w:r w:rsidRPr="001F2036">
        <w:t xml:space="preserve">) </w:t>
      </w:r>
      <w:r w:rsidR="003850E7" w:rsidRPr="001F2036">
        <w:t>employees</w:t>
      </w:r>
      <w:r w:rsidRPr="001F2036">
        <w:t xml:space="preserve"> were assigned at 3 branches in the Delta Region –</w:t>
      </w:r>
      <w:r w:rsidR="001F2AAD" w:rsidRPr="001F2036">
        <w:t xml:space="preserve"> 3</w:t>
      </w:r>
      <w:r w:rsidRPr="001F2036">
        <w:t xml:space="preserve"> Branch Manager</w:t>
      </w:r>
      <w:r w:rsidR="0060327F" w:rsidRPr="001F2036">
        <w:t>s</w:t>
      </w:r>
      <w:r w:rsidRPr="001F2036">
        <w:t xml:space="preserve">, </w:t>
      </w:r>
      <w:r w:rsidR="001F2AAD" w:rsidRPr="001F2036">
        <w:t>3</w:t>
      </w:r>
      <w:r w:rsidRPr="001F2036">
        <w:t xml:space="preserve"> Project Accountant</w:t>
      </w:r>
      <w:r w:rsidR="00CA095B" w:rsidRPr="001F2036">
        <w:t>s</w:t>
      </w:r>
      <w:r w:rsidRPr="001F2036">
        <w:t xml:space="preserve">, </w:t>
      </w:r>
      <w:r w:rsidR="001F2AAD" w:rsidRPr="001F2036">
        <w:t xml:space="preserve">4 Training Officers, </w:t>
      </w:r>
      <w:r w:rsidR="00CA095B" w:rsidRPr="001F2036">
        <w:t>8 Loan Monitors and 3 Boat Drivers</w:t>
      </w:r>
      <w:r w:rsidRPr="001F2036">
        <w:t>.</w:t>
      </w:r>
    </w:p>
    <w:p w:rsidR="00D30CDE" w:rsidRPr="001F2036" w:rsidRDefault="00D30CDE" w:rsidP="00D30CDE">
      <w:pPr>
        <w:pStyle w:val="ListParagraph"/>
        <w:spacing w:after="0" w:line="240" w:lineRule="auto"/>
        <w:ind w:left="0"/>
        <w:contextualSpacing w:val="0"/>
        <w:jc w:val="both"/>
        <w:rPr>
          <w:b/>
          <w:sz w:val="24"/>
        </w:rPr>
      </w:pPr>
      <w:r w:rsidRPr="001F2036">
        <w:rPr>
          <w:b/>
          <w:sz w:val="24"/>
        </w:rPr>
        <w:t>G. Implementation Issues:</w:t>
      </w:r>
    </w:p>
    <w:p w:rsidR="00B47691" w:rsidRDefault="0067585F" w:rsidP="00922801">
      <w:pPr>
        <w:pStyle w:val="ListParagraph"/>
        <w:spacing w:before="120" w:after="120"/>
        <w:ind w:left="0" w:firstLine="720"/>
        <w:contextualSpacing w:val="0"/>
        <w:jc w:val="both"/>
      </w:pPr>
      <w:r w:rsidRPr="001F2036">
        <w:t xml:space="preserve">This </w:t>
      </w:r>
      <w:r w:rsidR="001F2036" w:rsidRPr="001F2036">
        <w:t xml:space="preserve">combined </w:t>
      </w:r>
      <w:r w:rsidRPr="001F2036">
        <w:t>project</w:t>
      </w:r>
      <w:r w:rsidR="00D30CDE" w:rsidRPr="001F2036">
        <w:t xml:space="preserve"> </w:t>
      </w:r>
      <w:r w:rsidR="003850E7" w:rsidRPr="001F2036">
        <w:t xml:space="preserve">demands </w:t>
      </w:r>
      <w:r w:rsidR="00D30CDE" w:rsidRPr="001F2036">
        <w:t>a lot of time and patience from the field staff from both MFP and ICDP to introduce the new loan product and methodology to the SRGs</w:t>
      </w:r>
      <w:r w:rsidR="001F2036" w:rsidRPr="001F2036">
        <w:t>, the wholesale loan</w:t>
      </w:r>
      <w:r w:rsidR="00D30CDE" w:rsidRPr="001F2036">
        <w:t xml:space="preserve">. </w:t>
      </w:r>
    </w:p>
    <w:p w:rsidR="00B47691" w:rsidRDefault="00D30CDE" w:rsidP="00F910A0">
      <w:pPr>
        <w:pStyle w:val="ListParagraph"/>
        <w:spacing w:before="120" w:after="120"/>
        <w:ind w:left="0" w:firstLine="720"/>
        <w:contextualSpacing w:val="0"/>
        <w:jc w:val="both"/>
      </w:pPr>
      <w:r w:rsidRPr="001F2036">
        <w:t>The</w:t>
      </w:r>
      <w:r w:rsidR="001F6855">
        <w:t xml:space="preserve"> biggest challenge</w:t>
      </w:r>
      <w:r w:rsidR="00B47691">
        <w:t xml:space="preserve"> to meeting the project targets in quarters 2-4 of this year has been UNDP’s decision to shut down the ICDP program with outstanding funds and pending targets.  Without a stream of identified and trained SRGs flowing from ICDP, Pact has been unable to fully implement its part of the project.  In July, Pact and UNDP did agree to a limited re-involvement by </w:t>
      </w:r>
      <w:r w:rsidR="00B47691">
        <w:lastRenderedPageBreak/>
        <w:t xml:space="preserve">former ICDP staff that could have allowed Pact to reach 350 SRGs had it been implemented in a timely manner.  UNDP also sent a proposal to USAID to reduce the target from 500 to 350 SRGs. </w:t>
      </w:r>
    </w:p>
    <w:p w:rsidR="00D30CDE" w:rsidRPr="001F2036" w:rsidRDefault="001F6855" w:rsidP="00F910A0">
      <w:pPr>
        <w:pStyle w:val="ListParagraph"/>
        <w:spacing w:before="120" w:after="120"/>
        <w:ind w:left="0" w:firstLine="720"/>
        <w:contextualSpacing w:val="0"/>
        <w:jc w:val="both"/>
      </w:pPr>
      <w:r>
        <w:t>One of the other major</w:t>
      </w:r>
      <w:r w:rsidR="00D30CDE" w:rsidRPr="001F2036">
        <w:t xml:space="preserve"> </w:t>
      </w:r>
      <w:r w:rsidR="0067585F" w:rsidRPr="001F2036">
        <w:t>challenge</w:t>
      </w:r>
      <w:r>
        <w:t>s</w:t>
      </w:r>
      <w:r w:rsidR="0067585F" w:rsidRPr="001F2036">
        <w:t xml:space="preserve"> </w:t>
      </w:r>
      <w:r w:rsidR="00D30CDE" w:rsidRPr="001F2036">
        <w:t xml:space="preserve">was to convince </w:t>
      </w:r>
      <w:r w:rsidR="003850E7" w:rsidRPr="001F2036">
        <w:t>SRGs</w:t>
      </w:r>
      <w:r w:rsidR="0067585F" w:rsidRPr="001F2036">
        <w:t xml:space="preserve"> </w:t>
      </w:r>
      <w:r w:rsidR="00D30CDE" w:rsidRPr="001F2036">
        <w:t xml:space="preserve">that the program was to assist them in fulfilling their capital requirement and that </w:t>
      </w:r>
      <w:r w:rsidR="003850E7" w:rsidRPr="001F2036">
        <w:t>they were being given loans,</w:t>
      </w:r>
      <w:r w:rsidR="00D30CDE" w:rsidRPr="001F2036">
        <w:t xml:space="preserve"> not grants. It also took time to </w:t>
      </w:r>
      <w:r w:rsidR="0067585F" w:rsidRPr="001F2036">
        <w:t xml:space="preserve">help </w:t>
      </w:r>
      <w:r w:rsidR="00D30CDE" w:rsidRPr="001F2036">
        <w:t xml:space="preserve">them understand that the wholesale loan contract </w:t>
      </w:r>
      <w:r w:rsidR="0067585F" w:rsidRPr="001F2036">
        <w:t>requires a</w:t>
      </w:r>
      <w:r w:rsidR="00D30CDE" w:rsidRPr="001F2036">
        <w:t xml:space="preserve"> sign</w:t>
      </w:r>
      <w:r w:rsidR="0067585F" w:rsidRPr="001F2036">
        <w:t>ature</w:t>
      </w:r>
      <w:r w:rsidR="00D30CDE" w:rsidRPr="001F2036">
        <w:t xml:space="preserve"> by all members of the SRG, regardless of how many of them take the loan.</w:t>
      </w:r>
      <w:r w:rsidR="003918B9" w:rsidRPr="001F2036">
        <w:t xml:space="preserve"> Other issues and challenges </w:t>
      </w:r>
      <w:r w:rsidR="0067585F" w:rsidRPr="001F2036">
        <w:t xml:space="preserve">cited as of the end of </w:t>
      </w:r>
      <w:r w:rsidR="001F2036" w:rsidRPr="001F2036">
        <w:t>September</w:t>
      </w:r>
      <w:r w:rsidR="0067585F" w:rsidRPr="001F2036">
        <w:t xml:space="preserve"> are </w:t>
      </w:r>
      <w:r w:rsidR="003918B9" w:rsidRPr="001F2036">
        <w:t>as follows;</w:t>
      </w:r>
    </w:p>
    <w:p w:rsidR="00FD7A36" w:rsidRPr="00DE15BC" w:rsidRDefault="00FD7A36" w:rsidP="00FD7A36">
      <w:pPr>
        <w:pStyle w:val="ListParagraph"/>
        <w:numPr>
          <w:ilvl w:val="0"/>
          <w:numId w:val="29"/>
        </w:numPr>
        <w:spacing w:after="0"/>
        <w:jc w:val="both"/>
        <w:rPr>
          <w:rFonts w:ascii="Calibri" w:eastAsia="Calibri" w:hAnsi="Calibri" w:cs="Times New Roman"/>
        </w:rPr>
      </w:pPr>
      <w:r w:rsidRPr="00DE15BC">
        <w:rPr>
          <w:rFonts w:ascii="Calibri" w:eastAsia="Calibri" w:hAnsi="Calibri" w:cs="Times New Roman"/>
        </w:rPr>
        <w:t>As th</w:t>
      </w:r>
      <w:r w:rsidR="00284222" w:rsidRPr="00DE15BC">
        <w:rPr>
          <w:rFonts w:ascii="Calibri" w:eastAsia="Calibri" w:hAnsi="Calibri" w:cs="Times New Roman"/>
        </w:rPr>
        <w:t>ere are 1,062 SRGs in Delta, 342</w:t>
      </w:r>
      <w:r w:rsidRPr="00DE15BC">
        <w:rPr>
          <w:rFonts w:ascii="Calibri" w:eastAsia="Calibri" w:hAnsi="Calibri" w:cs="Times New Roman"/>
        </w:rPr>
        <w:t xml:space="preserve"> SRGs received access to credit from MFP and it was learned that the remaining 7</w:t>
      </w:r>
      <w:r w:rsidR="00DE15BC" w:rsidRPr="00DE15BC">
        <w:rPr>
          <w:rFonts w:ascii="Calibri" w:eastAsia="Calibri" w:hAnsi="Calibri" w:cs="Times New Roman"/>
        </w:rPr>
        <w:t>20</w:t>
      </w:r>
      <w:r w:rsidRPr="00DE15BC">
        <w:rPr>
          <w:rFonts w:ascii="Calibri" w:eastAsia="Calibri" w:hAnsi="Calibri" w:cs="Times New Roman"/>
        </w:rPr>
        <w:t xml:space="preserve"> SRGs could be classified as follows:</w:t>
      </w:r>
    </w:p>
    <w:p w:rsidR="00FD7A36" w:rsidRPr="00DE15BC" w:rsidRDefault="007E6D4D" w:rsidP="00FD7A36">
      <w:pPr>
        <w:pStyle w:val="ListParagraph"/>
        <w:numPr>
          <w:ilvl w:val="0"/>
          <w:numId w:val="30"/>
        </w:numPr>
        <w:tabs>
          <w:tab w:val="left" w:pos="1440"/>
        </w:tabs>
        <w:spacing w:after="0"/>
        <w:ind w:left="1440"/>
        <w:jc w:val="both"/>
        <w:rPr>
          <w:rFonts w:ascii="Calibri" w:eastAsia="Calibri" w:hAnsi="Calibri" w:cs="Times New Roman"/>
        </w:rPr>
      </w:pPr>
      <w:r>
        <w:rPr>
          <w:rFonts w:ascii="Calibri" w:eastAsia="Calibri" w:hAnsi="Calibri" w:cs="Times New Roman"/>
        </w:rPr>
        <w:t xml:space="preserve">309 SRGs are found to be in defunct stage, which are required </w:t>
      </w:r>
      <w:r w:rsidR="00FD7A36" w:rsidRPr="00DE15BC">
        <w:rPr>
          <w:rFonts w:ascii="Calibri" w:eastAsia="Calibri" w:hAnsi="Calibri" w:cs="Times New Roman"/>
        </w:rPr>
        <w:t>to revive</w:t>
      </w:r>
      <w:r>
        <w:rPr>
          <w:rFonts w:ascii="Calibri" w:eastAsia="Calibri" w:hAnsi="Calibri" w:cs="Times New Roman"/>
        </w:rPr>
        <w:t xml:space="preserve"> again</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8 SRGs have a very f</w:t>
      </w:r>
      <w:r w:rsidR="007E6D4D">
        <w:rPr>
          <w:rFonts w:ascii="Calibri" w:eastAsia="Calibri" w:hAnsi="Calibri" w:cs="Times New Roman"/>
        </w:rPr>
        <w:t>ew active members</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26 SRGs explained that they have enough common fund and no requirement for additional capital</w:t>
      </w:r>
    </w:p>
    <w:p w:rsidR="00FD7A36" w:rsidRPr="00DE15BC" w:rsidRDefault="007E6D4D" w:rsidP="00FD7A36">
      <w:pPr>
        <w:pStyle w:val="ListParagraph"/>
        <w:numPr>
          <w:ilvl w:val="0"/>
          <w:numId w:val="30"/>
        </w:numPr>
        <w:tabs>
          <w:tab w:val="left" w:pos="1440"/>
        </w:tabs>
        <w:spacing w:after="0"/>
        <w:ind w:left="1440"/>
        <w:jc w:val="both"/>
        <w:rPr>
          <w:rFonts w:ascii="Calibri" w:eastAsia="Calibri" w:hAnsi="Calibri" w:cs="Times New Roman"/>
        </w:rPr>
      </w:pPr>
      <w:r>
        <w:rPr>
          <w:rFonts w:ascii="Calibri" w:eastAsia="Calibri" w:hAnsi="Calibri" w:cs="Times New Roman"/>
        </w:rPr>
        <w:t>Weak solidarity</w:t>
      </w:r>
      <w:r w:rsidR="00FD7A36" w:rsidRPr="00DE15BC">
        <w:rPr>
          <w:rFonts w:ascii="Calibri" w:eastAsia="Calibri" w:hAnsi="Calibri" w:cs="Times New Roman"/>
        </w:rPr>
        <w:t xml:space="preserve"> was found in 16 SRGs</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44 SRGs expressed that they do not want wholesale loans</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 xml:space="preserve">80 SRGs are in weak status </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 xml:space="preserve"> 87 SRGs are having overdue loans</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 xml:space="preserve">11 SRGs stated that they would not like to attend regular meeting </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13</w:t>
      </w:r>
      <w:r w:rsidR="00DE15BC" w:rsidRPr="00DE15BC">
        <w:rPr>
          <w:rFonts w:ascii="Calibri" w:eastAsia="Calibri" w:hAnsi="Calibri" w:cs="Times New Roman"/>
        </w:rPr>
        <w:t>6</w:t>
      </w:r>
      <w:r w:rsidRPr="00DE15BC">
        <w:rPr>
          <w:rFonts w:ascii="Calibri" w:eastAsia="Calibri" w:hAnsi="Calibri" w:cs="Times New Roman"/>
        </w:rPr>
        <w:t xml:space="preserve"> SRGs</w:t>
      </w:r>
      <w:r w:rsidR="007E6D4D">
        <w:rPr>
          <w:rFonts w:ascii="Calibri" w:eastAsia="Calibri" w:hAnsi="Calibri" w:cs="Times New Roman"/>
        </w:rPr>
        <w:t xml:space="preserve"> were impoosible to contact</w:t>
      </w:r>
    </w:p>
    <w:p w:rsidR="00FD7A36" w:rsidRPr="00DE15BC" w:rsidRDefault="00FD7A36" w:rsidP="00FD7A36">
      <w:pPr>
        <w:pStyle w:val="ListParagraph"/>
        <w:numPr>
          <w:ilvl w:val="0"/>
          <w:numId w:val="30"/>
        </w:numPr>
        <w:tabs>
          <w:tab w:val="left" w:pos="1440"/>
        </w:tabs>
        <w:spacing w:after="0"/>
        <w:ind w:left="1440"/>
        <w:jc w:val="both"/>
        <w:rPr>
          <w:rFonts w:ascii="Calibri" w:eastAsia="Calibri" w:hAnsi="Calibri" w:cs="Times New Roman"/>
        </w:rPr>
      </w:pPr>
      <w:r w:rsidRPr="00DE15BC">
        <w:rPr>
          <w:rFonts w:ascii="Calibri" w:eastAsia="Calibri" w:hAnsi="Calibri" w:cs="Times New Roman"/>
        </w:rPr>
        <w:t>3 SRGs are in remote areas and could not be reached for the time being</w:t>
      </w:r>
    </w:p>
    <w:p w:rsidR="00FD7A36" w:rsidRPr="00DE15BC" w:rsidRDefault="00FD7A36" w:rsidP="00FD7A36">
      <w:pPr>
        <w:pStyle w:val="ListParagraph"/>
        <w:numPr>
          <w:ilvl w:val="0"/>
          <w:numId w:val="29"/>
        </w:numPr>
        <w:spacing w:after="0"/>
        <w:jc w:val="both"/>
        <w:rPr>
          <w:rFonts w:ascii="Calibri" w:eastAsia="Calibri" w:hAnsi="Calibri" w:cs="Times New Roman"/>
        </w:rPr>
      </w:pPr>
      <w:r w:rsidRPr="00DE15BC">
        <w:rPr>
          <w:rFonts w:ascii="Calibri" w:eastAsia="Calibri" w:hAnsi="Calibri" w:cs="Times New Roman"/>
        </w:rPr>
        <w:t>SRG members could take one loan only, either from common fund or wholesale loans through the group.</w:t>
      </w:r>
    </w:p>
    <w:p w:rsidR="00FD7A36" w:rsidRPr="00DE15BC" w:rsidRDefault="00FD7A36" w:rsidP="00FD7A36">
      <w:pPr>
        <w:pStyle w:val="ListParagraph"/>
        <w:numPr>
          <w:ilvl w:val="0"/>
          <w:numId w:val="29"/>
        </w:numPr>
        <w:spacing w:after="0"/>
        <w:jc w:val="both"/>
        <w:rPr>
          <w:rFonts w:ascii="Calibri" w:eastAsia="Calibri" w:hAnsi="Calibri" w:cs="Times New Roman"/>
        </w:rPr>
      </w:pPr>
      <w:r w:rsidRPr="00DE15BC">
        <w:rPr>
          <w:rFonts w:ascii="Calibri" w:eastAsia="Calibri" w:hAnsi="Calibri" w:cs="Times New Roman"/>
        </w:rPr>
        <w:t xml:space="preserve">No financial </w:t>
      </w:r>
      <w:r w:rsidR="00DE15BC" w:rsidRPr="00DE15BC">
        <w:rPr>
          <w:rFonts w:ascii="Calibri" w:eastAsia="Calibri" w:hAnsi="Calibri" w:cs="Times New Roman"/>
        </w:rPr>
        <w:t>net margin for SRG</w:t>
      </w:r>
      <w:r w:rsidRPr="00DE15BC">
        <w:rPr>
          <w:rFonts w:ascii="Calibri" w:eastAsia="Calibri" w:hAnsi="Calibri" w:cs="Times New Roman"/>
        </w:rPr>
        <w:t xml:space="preserve"> has been seen in the SRGs which already received wholesale loans; PGMF charges 30% annually and members pay the same rate, no earning for SRG as a group.</w:t>
      </w:r>
    </w:p>
    <w:p w:rsidR="00FD7A36" w:rsidRPr="00DE15BC" w:rsidRDefault="00FD7A36" w:rsidP="00FD7A36">
      <w:pPr>
        <w:pStyle w:val="ListParagraph"/>
        <w:numPr>
          <w:ilvl w:val="0"/>
          <w:numId w:val="29"/>
        </w:numPr>
        <w:spacing w:after="0"/>
        <w:jc w:val="both"/>
        <w:rPr>
          <w:rFonts w:ascii="Calibri" w:eastAsia="Calibri" w:hAnsi="Calibri" w:cs="Times New Roman"/>
        </w:rPr>
      </w:pPr>
      <w:r w:rsidRPr="00DE15BC">
        <w:rPr>
          <w:rFonts w:ascii="Calibri" w:eastAsia="Calibri" w:hAnsi="Calibri" w:cs="Times New Roman"/>
        </w:rPr>
        <w:t xml:space="preserve">Due to </w:t>
      </w:r>
      <w:r w:rsidR="00062ED8" w:rsidRPr="00DE15BC">
        <w:rPr>
          <w:rFonts w:ascii="Calibri" w:eastAsia="Calibri" w:hAnsi="Calibri" w:cs="Times New Roman"/>
        </w:rPr>
        <w:t>(3) above</w:t>
      </w:r>
      <w:r w:rsidRPr="00DE15BC">
        <w:rPr>
          <w:rFonts w:ascii="Calibri" w:eastAsia="Calibri" w:hAnsi="Calibri" w:cs="Times New Roman"/>
        </w:rPr>
        <w:t>, SRGs leaders have no interest in taking wholesale loans from PGMF.</w:t>
      </w:r>
    </w:p>
    <w:p w:rsidR="00D30CDE" w:rsidRPr="00FA7A76" w:rsidRDefault="00D30CDE" w:rsidP="00D30CDE">
      <w:pPr>
        <w:pStyle w:val="ListParagraph"/>
        <w:spacing w:after="0" w:line="240" w:lineRule="auto"/>
        <w:ind w:left="0"/>
        <w:jc w:val="both"/>
        <w:rPr>
          <w:color w:val="FF0000"/>
        </w:rPr>
      </w:pPr>
    </w:p>
    <w:p w:rsidR="00D30CDE" w:rsidRPr="00361004" w:rsidRDefault="00D30CDE" w:rsidP="00D30CDE">
      <w:pPr>
        <w:pStyle w:val="ListParagraph"/>
        <w:spacing w:after="0" w:line="240" w:lineRule="auto"/>
        <w:ind w:left="0"/>
        <w:jc w:val="both"/>
        <w:rPr>
          <w:b/>
        </w:rPr>
      </w:pPr>
      <w:r w:rsidRPr="00361004">
        <w:rPr>
          <w:b/>
          <w:sz w:val="24"/>
        </w:rPr>
        <w:t>H. Lessons Learnt:</w:t>
      </w:r>
    </w:p>
    <w:p w:rsidR="0011508F" w:rsidRPr="006A0B7E" w:rsidRDefault="00FD7A36" w:rsidP="0067585F">
      <w:pPr>
        <w:pStyle w:val="ListParagraph"/>
        <w:numPr>
          <w:ilvl w:val="0"/>
          <w:numId w:val="26"/>
        </w:numPr>
        <w:spacing w:before="120" w:after="120"/>
        <w:ind w:left="720"/>
        <w:contextualSpacing w:val="0"/>
        <w:jc w:val="both"/>
      </w:pPr>
      <w:r w:rsidRPr="006A0B7E">
        <w:t>MFP</w:t>
      </w:r>
      <w:r w:rsidR="0011508F" w:rsidRPr="006A0B7E">
        <w:t xml:space="preserve"> </w:t>
      </w:r>
      <w:r w:rsidRPr="006A0B7E">
        <w:t xml:space="preserve">wholesale loans </w:t>
      </w:r>
      <w:r w:rsidR="0011508F" w:rsidRPr="006A0B7E">
        <w:t xml:space="preserve">can </w:t>
      </w:r>
      <w:r w:rsidRPr="006A0B7E">
        <w:t xml:space="preserve">be a valuable tool to </w:t>
      </w:r>
      <w:r w:rsidR="0011508F" w:rsidRPr="006A0B7E">
        <w:t xml:space="preserve">fulfill the need </w:t>
      </w:r>
      <w:r w:rsidRPr="006A0B7E">
        <w:t xml:space="preserve">to </w:t>
      </w:r>
      <w:r w:rsidR="0011508F" w:rsidRPr="006A0B7E">
        <w:t>supplement SRGs</w:t>
      </w:r>
      <w:r w:rsidRPr="006A0B7E">
        <w:t>’</w:t>
      </w:r>
      <w:r w:rsidR="0011508F" w:rsidRPr="006A0B7E">
        <w:t xml:space="preserve"> common fund</w:t>
      </w:r>
      <w:r w:rsidRPr="006A0B7E">
        <w:t>s</w:t>
      </w:r>
      <w:r w:rsidR="0011508F" w:rsidRPr="006A0B7E">
        <w:t xml:space="preserve"> </w:t>
      </w:r>
      <w:r w:rsidRPr="006A0B7E">
        <w:t>in order to help increase the</w:t>
      </w:r>
      <w:r w:rsidR="0011508F" w:rsidRPr="006A0B7E">
        <w:t xml:space="preserve"> capital base of SRGs members who can expand their businesses.</w:t>
      </w:r>
    </w:p>
    <w:p w:rsidR="0011508F" w:rsidRPr="006A0B7E" w:rsidRDefault="0011508F" w:rsidP="0067585F">
      <w:pPr>
        <w:pStyle w:val="ListParagraph"/>
        <w:numPr>
          <w:ilvl w:val="0"/>
          <w:numId w:val="26"/>
        </w:numPr>
        <w:spacing w:before="120" w:after="120"/>
        <w:ind w:left="720"/>
        <w:contextualSpacing w:val="0"/>
        <w:jc w:val="both"/>
      </w:pPr>
      <w:r w:rsidRPr="006A0B7E">
        <w:t>Capacity building is required for SRGs to link them with formal financial services; especially on record keeping so that SRG leaders can keep track of all financial transactions and the link</w:t>
      </w:r>
      <w:r w:rsidR="009B66CB" w:rsidRPr="006A0B7E">
        <w:t xml:space="preserve"> up with microfinance program as</w:t>
      </w:r>
      <w:r w:rsidRPr="006A0B7E">
        <w:t xml:space="preserve"> a good solution.</w:t>
      </w:r>
    </w:p>
    <w:p w:rsidR="0011508F" w:rsidRPr="006A0B7E" w:rsidRDefault="0011508F" w:rsidP="0067585F">
      <w:pPr>
        <w:pStyle w:val="ListParagraph"/>
        <w:numPr>
          <w:ilvl w:val="0"/>
          <w:numId w:val="26"/>
        </w:numPr>
        <w:spacing w:before="120" w:after="120"/>
        <w:ind w:left="720"/>
        <w:contextualSpacing w:val="0"/>
        <w:jc w:val="both"/>
      </w:pPr>
      <w:r w:rsidRPr="006A0B7E">
        <w:t xml:space="preserve">Collaboration between </w:t>
      </w:r>
      <w:r w:rsidR="009B66CB" w:rsidRPr="006A0B7E">
        <w:t>UNDP</w:t>
      </w:r>
      <w:r w:rsidR="0067585F" w:rsidRPr="006A0B7E">
        <w:t xml:space="preserve"> </w:t>
      </w:r>
      <w:r w:rsidR="009B66CB" w:rsidRPr="006A0B7E">
        <w:t>and</w:t>
      </w:r>
      <w:r w:rsidRPr="006A0B7E">
        <w:t xml:space="preserve"> HDI Projects is essential to identify viable SRGs and in the capacity assessment for wholesale lending.</w:t>
      </w:r>
      <w:r w:rsidR="00FD7A36" w:rsidRPr="006A0B7E">
        <w:t xml:space="preserve">  Without this link, it is impossible to successfully implement the project with the given budget.</w:t>
      </w:r>
    </w:p>
    <w:p w:rsidR="0011508F" w:rsidRPr="006A0B7E" w:rsidRDefault="0011508F" w:rsidP="0067585F">
      <w:pPr>
        <w:pStyle w:val="ListParagraph"/>
        <w:numPr>
          <w:ilvl w:val="0"/>
          <w:numId w:val="26"/>
        </w:numPr>
        <w:spacing w:before="120" w:after="120"/>
        <w:ind w:left="720"/>
        <w:contextualSpacing w:val="0"/>
        <w:jc w:val="both"/>
      </w:pPr>
      <w:r w:rsidRPr="006A0B7E">
        <w:t>Wholesale loan</w:t>
      </w:r>
      <w:r w:rsidR="00AF6F7A" w:rsidRPr="006A0B7E">
        <w:t>s</w:t>
      </w:r>
      <w:r w:rsidRPr="006A0B7E">
        <w:t xml:space="preserve"> </w:t>
      </w:r>
      <w:r w:rsidR="00AF6F7A" w:rsidRPr="006A0B7E">
        <w:t>are</w:t>
      </w:r>
      <w:r w:rsidRPr="006A0B7E">
        <w:t xml:space="preserve"> a good support for the SRGs and all SRGs given access to wholesale loan were able to repay on time and took subsequent loans. </w:t>
      </w:r>
    </w:p>
    <w:p w:rsidR="0011508F" w:rsidRPr="00B33DF1" w:rsidRDefault="0011508F" w:rsidP="0067585F">
      <w:pPr>
        <w:pStyle w:val="ListParagraph"/>
        <w:numPr>
          <w:ilvl w:val="0"/>
          <w:numId w:val="26"/>
        </w:numPr>
        <w:spacing w:before="120" w:after="120"/>
        <w:ind w:left="720"/>
        <w:contextualSpacing w:val="0"/>
        <w:jc w:val="both"/>
      </w:pPr>
      <w:r w:rsidRPr="00B33DF1">
        <w:t xml:space="preserve">SRGs with strong leadership and </w:t>
      </w:r>
      <w:r w:rsidR="00FD7A36" w:rsidRPr="00B33DF1">
        <w:t xml:space="preserve">with members </w:t>
      </w:r>
      <w:r w:rsidRPr="00B33DF1">
        <w:t>in viable businesses could be linked with MFP if they are in need of additional capital and willing to borrow.</w:t>
      </w:r>
    </w:p>
    <w:p w:rsidR="0011508F" w:rsidRPr="00B33DF1" w:rsidRDefault="0011508F" w:rsidP="0067585F">
      <w:pPr>
        <w:pStyle w:val="ListParagraph"/>
        <w:numPr>
          <w:ilvl w:val="0"/>
          <w:numId w:val="26"/>
        </w:numPr>
        <w:spacing w:before="120" w:after="120"/>
        <w:ind w:left="720"/>
        <w:contextualSpacing w:val="0"/>
        <w:jc w:val="both"/>
      </w:pPr>
      <w:r w:rsidRPr="00B33DF1">
        <w:lastRenderedPageBreak/>
        <w:t>Thanks mainly to the experienc</w:t>
      </w:r>
      <w:r w:rsidR="00062ED8" w:rsidRPr="00B33DF1">
        <w:t>e</w:t>
      </w:r>
      <w:r w:rsidRPr="00B33DF1">
        <w:t xml:space="preserve"> gained in Shan, SRG </w:t>
      </w:r>
      <w:r w:rsidR="00FD7A36" w:rsidRPr="00B33DF1">
        <w:t xml:space="preserve">wholesale </w:t>
      </w:r>
      <w:r w:rsidRPr="00B33DF1">
        <w:t xml:space="preserve">program </w:t>
      </w:r>
      <w:r w:rsidR="00FD7A36" w:rsidRPr="00B33DF1">
        <w:t>has been successfully implemented in Delta.</w:t>
      </w:r>
    </w:p>
    <w:p w:rsidR="00FD7A36" w:rsidRPr="00B33DF1" w:rsidRDefault="00FD7A36" w:rsidP="0067585F">
      <w:pPr>
        <w:pStyle w:val="ListParagraph"/>
        <w:numPr>
          <w:ilvl w:val="0"/>
          <w:numId w:val="26"/>
        </w:numPr>
        <w:spacing w:before="120" w:after="120"/>
        <w:ind w:left="720"/>
        <w:contextualSpacing w:val="0"/>
        <w:jc w:val="both"/>
      </w:pPr>
      <w:r w:rsidRPr="00B33DF1">
        <w:t>Allowing SRG members to access both common funds and wholesale loans simultaneously up to a pre-approved limit can help members to better finance their businesses and can create more demand for wholesale loans among current client SRGs and non-client SRGs.</w:t>
      </w:r>
    </w:p>
    <w:p w:rsidR="00D30CDE" w:rsidRPr="00FA7A76" w:rsidRDefault="00D30CDE" w:rsidP="00D30CDE">
      <w:pPr>
        <w:pStyle w:val="ListParagraph"/>
        <w:spacing w:after="0" w:line="240" w:lineRule="auto"/>
        <w:ind w:left="0"/>
        <w:jc w:val="both"/>
        <w:rPr>
          <w:color w:val="FF0000"/>
        </w:rPr>
      </w:pPr>
      <w:r w:rsidRPr="00FA7A76">
        <w:rPr>
          <w:color w:val="FF0000"/>
        </w:rPr>
        <w:t xml:space="preserve"> </w:t>
      </w:r>
    </w:p>
    <w:p w:rsidR="00D30CDE" w:rsidRPr="0061605B" w:rsidRDefault="00D30CDE" w:rsidP="00D30CDE">
      <w:pPr>
        <w:spacing w:after="0" w:line="240" w:lineRule="auto"/>
        <w:jc w:val="both"/>
        <w:rPr>
          <w:b/>
          <w:sz w:val="24"/>
        </w:rPr>
      </w:pPr>
      <w:r w:rsidRPr="0061605B">
        <w:rPr>
          <w:b/>
          <w:sz w:val="24"/>
        </w:rPr>
        <w:t>I. Conclusion:</w:t>
      </w:r>
    </w:p>
    <w:p w:rsidR="00D30CDE" w:rsidRPr="00B33DF1" w:rsidRDefault="00D30CDE" w:rsidP="00D30CDE">
      <w:pPr>
        <w:spacing w:after="0" w:line="240" w:lineRule="auto"/>
        <w:jc w:val="both"/>
        <w:rPr>
          <w:b/>
        </w:rPr>
      </w:pPr>
    </w:p>
    <w:p w:rsidR="00D30CDE" w:rsidRPr="00B33DF1" w:rsidRDefault="00D30CDE" w:rsidP="00D30CDE">
      <w:pPr>
        <w:spacing w:after="0" w:line="240" w:lineRule="auto"/>
        <w:jc w:val="both"/>
      </w:pPr>
      <w:r w:rsidRPr="00B33DF1">
        <w:t xml:space="preserve">Thanks to the United States Government for providing the fund for this SRG-MF linkage initiative that created a bridge between the SRG and </w:t>
      </w:r>
      <w:r w:rsidR="00B453DB" w:rsidRPr="00B33DF1">
        <w:t>MFP</w:t>
      </w:r>
      <w:r w:rsidRPr="00B33DF1">
        <w:t>, resulting in a new mechanism to fulfill the capital requirements of SRGs.</w:t>
      </w:r>
    </w:p>
    <w:p w:rsidR="00D30CDE" w:rsidRPr="00B33DF1" w:rsidRDefault="00D30CDE" w:rsidP="00D30CDE">
      <w:pPr>
        <w:pStyle w:val="ListParagraph"/>
        <w:spacing w:after="0" w:line="240" w:lineRule="auto"/>
        <w:ind w:left="0"/>
        <w:jc w:val="both"/>
      </w:pPr>
      <w:r w:rsidRPr="00B33DF1">
        <w:t>The program became a good example for Microfinance practitioners demonstrating that solidarity lending modality and SRG modality could work side by side.</w:t>
      </w:r>
    </w:p>
    <w:p w:rsidR="00D30CDE" w:rsidRPr="00B33DF1" w:rsidRDefault="00D30CDE" w:rsidP="00D30CDE">
      <w:pPr>
        <w:pStyle w:val="ListParagraph"/>
        <w:spacing w:after="0" w:line="240" w:lineRule="auto"/>
        <w:jc w:val="both"/>
      </w:pPr>
    </w:p>
    <w:p w:rsidR="00D30CDE" w:rsidRPr="00FA7A76" w:rsidRDefault="00D30CDE" w:rsidP="00D30CDE">
      <w:pPr>
        <w:pStyle w:val="ListParagraph"/>
        <w:spacing w:after="0" w:line="240" w:lineRule="auto"/>
        <w:jc w:val="both"/>
        <w:rPr>
          <w:color w:val="FF0000"/>
        </w:rPr>
      </w:pPr>
    </w:p>
    <w:p w:rsidR="00D30CDE" w:rsidRPr="00FA7A76" w:rsidRDefault="00D30CDE" w:rsidP="00D30CDE">
      <w:pPr>
        <w:pStyle w:val="ListParagraph"/>
        <w:spacing w:after="0" w:line="240" w:lineRule="auto"/>
        <w:jc w:val="both"/>
        <w:rPr>
          <w:color w:val="FF0000"/>
        </w:rPr>
      </w:pPr>
    </w:p>
    <w:p w:rsidR="00D30CDE" w:rsidRPr="00FA7A76" w:rsidRDefault="00D30CDE" w:rsidP="00D30CDE">
      <w:pPr>
        <w:pStyle w:val="ListParagraph"/>
        <w:spacing w:after="0" w:line="240" w:lineRule="auto"/>
        <w:jc w:val="both"/>
        <w:rPr>
          <w:color w:val="FF0000"/>
        </w:rPr>
      </w:pPr>
    </w:p>
    <w:p w:rsidR="00D30CDE" w:rsidRPr="00FA7A76" w:rsidRDefault="00D30CDE" w:rsidP="00D30CDE">
      <w:pPr>
        <w:pStyle w:val="ListParagraph"/>
        <w:spacing w:after="0" w:line="240" w:lineRule="auto"/>
        <w:jc w:val="both"/>
        <w:rPr>
          <w:color w:val="FF0000"/>
        </w:rPr>
      </w:pPr>
    </w:p>
    <w:p w:rsidR="00D30CDE" w:rsidRPr="00B33DF1" w:rsidRDefault="00D30CDE" w:rsidP="00D30CDE">
      <w:pPr>
        <w:spacing w:after="0" w:line="240" w:lineRule="auto"/>
        <w:jc w:val="both"/>
        <w:rPr>
          <w:b/>
        </w:rPr>
      </w:pPr>
      <w:r w:rsidRPr="00B33DF1">
        <w:rPr>
          <w:b/>
        </w:rPr>
        <w:t xml:space="preserve">Date:  </w:t>
      </w:r>
      <w:r w:rsidR="00F910A0">
        <w:rPr>
          <w:b/>
        </w:rPr>
        <w:t>Dec 19</w:t>
      </w:r>
      <w:r w:rsidR="00381D46" w:rsidRPr="00B33DF1">
        <w:rPr>
          <w:b/>
        </w:rPr>
        <w:t>, 2013</w:t>
      </w:r>
      <w:r w:rsidR="00381D46" w:rsidRPr="00B33DF1">
        <w:rPr>
          <w:b/>
        </w:rPr>
        <w:tab/>
      </w:r>
      <w:r w:rsidR="00381D46" w:rsidRPr="00B33DF1">
        <w:rPr>
          <w:b/>
        </w:rPr>
        <w:tab/>
      </w:r>
      <w:r w:rsidRPr="00B33DF1">
        <w:rPr>
          <w:b/>
        </w:rPr>
        <w:tab/>
      </w:r>
      <w:r w:rsidRPr="00B33DF1">
        <w:rPr>
          <w:b/>
        </w:rPr>
        <w:tab/>
      </w:r>
      <w:r w:rsidRPr="00B33DF1">
        <w:rPr>
          <w:b/>
        </w:rPr>
        <w:tab/>
      </w:r>
      <w:r w:rsidRPr="00B33DF1">
        <w:rPr>
          <w:b/>
        </w:rPr>
        <w:tab/>
      </w:r>
      <w:r w:rsidRPr="00B33DF1">
        <w:rPr>
          <w:b/>
        </w:rPr>
        <w:tab/>
        <w:t xml:space="preserve">UNDP/PACT Myanmar </w:t>
      </w:r>
    </w:p>
    <w:p w:rsidR="00D30CDE" w:rsidRDefault="00381D46" w:rsidP="00030E27">
      <w:pPr>
        <w:rPr>
          <w:b/>
        </w:rPr>
      </w:pPr>
      <w:r w:rsidRPr="00FA7A76">
        <w:rPr>
          <w:b/>
          <w:color w:val="FF0000"/>
        </w:rPr>
        <w:br w:type="page"/>
      </w:r>
      <w:r w:rsidR="00D30CDE" w:rsidRPr="00B33DF1">
        <w:rPr>
          <w:b/>
          <w:u w:val="single"/>
        </w:rPr>
        <w:lastRenderedPageBreak/>
        <w:t>ANNEXES</w:t>
      </w:r>
      <w:r w:rsidR="00D30CDE" w:rsidRPr="00B33DF1">
        <w:rPr>
          <w:b/>
        </w:rPr>
        <w:t xml:space="preserve"> </w:t>
      </w:r>
    </w:p>
    <w:p w:rsidR="00F910A0" w:rsidRPr="00B33DF1" w:rsidRDefault="00F910A0" w:rsidP="00030E27">
      <w:pPr>
        <w:rPr>
          <w:b/>
        </w:rPr>
      </w:pPr>
    </w:p>
    <w:p w:rsidR="00D30CDE" w:rsidRPr="00B33DF1" w:rsidRDefault="00B62B4D" w:rsidP="00D30CDE">
      <w:pPr>
        <w:tabs>
          <w:tab w:val="left" w:pos="1348"/>
        </w:tabs>
        <w:spacing w:after="120" w:line="240" w:lineRule="auto"/>
        <w:jc w:val="both"/>
        <w:rPr>
          <w:sz w:val="20"/>
          <w:szCs w:val="20"/>
        </w:rPr>
      </w:pPr>
      <w:r w:rsidRPr="00B33DF1">
        <w:rPr>
          <w:b/>
          <w:noProof/>
        </w:rPr>
        <mc:AlternateContent>
          <mc:Choice Requires="wps">
            <w:drawing>
              <wp:anchor distT="0" distB="0" distL="114300" distR="114300" simplePos="0" relativeHeight="251750400" behindDoc="0" locked="0" layoutInCell="1" allowOverlap="1" wp14:anchorId="086F69F5" wp14:editId="35409374">
                <wp:simplePos x="0" y="0"/>
                <wp:positionH relativeFrom="column">
                  <wp:posOffset>-1270</wp:posOffset>
                </wp:positionH>
                <wp:positionV relativeFrom="paragraph">
                  <wp:posOffset>222885</wp:posOffset>
                </wp:positionV>
                <wp:extent cx="5865495" cy="7161530"/>
                <wp:effectExtent l="0" t="0" r="2095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161530"/>
                        </a:xfrm>
                        <a:prstGeom prst="rect">
                          <a:avLst/>
                        </a:prstGeom>
                        <a:solidFill>
                          <a:srgbClr val="FFFFFF"/>
                        </a:solidFill>
                        <a:ln w="9525" cmpd="dbl">
                          <a:solidFill>
                            <a:srgbClr val="FF0000"/>
                          </a:solidFill>
                          <a:miter lim="800000"/>
                          <a:headEnd/>
                          <a:tailEnd/>
                        </a:ln>
                      </wps:spPr>
                      <wps:txbx>
                        <w:txbxContent>
                          <w:p w:rsidR="007A437E" w:rsidRDefault="007A437E" w:rsidP="00B62B4D">
                            <w:pPr>
                              <w:spacing w:after="0" w:line="240" w:lineRule="auto"/>
                              <w:rPr>
                                <w:b/>
                              </w:rPr>
                            </w:pPr>
                            <w:r w:rsidRPr="00BF0B52">
                              <w:rPr>
                                <w:b/>
                              </w:rPr>
                              <w:t xml:space="preserve">General Description: </w:t>
                            </w:r>
                          </w:p>
                          <w:p w:rsidR="007A437E" w:rsidRDefault="007A437E" w:rsidP="00B62B4D">
                            <w:pPr>
                              <w:spacing w:after="0" w:line="240" w:lineRule="auto"/>
                              <w:rPr>
                                <w:b/>
                              </w:rPr>
                            </w:pPr>
                          </w:p>
                          <w:p w:rsidR="007A437E" w:rsidRDefault="007A437E" w:rsidP="00B62B4D">
                            <w:pPr>
                              <w:spacing w:after="0" w:line="240" w:lineRule="auto"/>
                              <w:jc w:val="both"/>
                            </w:pPr>
                            <w:r w:rsidRPr="00BF0B52">
                              <w:t xml:space="preserve">Wholesale </w:t>
                            </w:r>
                            <w:r>
                              <w:t>l</w:t>
                            </w:r>
                            <w:r w:rsidRPr="00BF0B52">
                              <w:t>oans will be given to the SRG</w:t>
                            </w:r>
                            <w:r>
                              <w:t>s</w:t>
                            </w:r>
                            <w:r w:rsidRPr="00BF0B52">
                              <w:t xml:space="preserve"> as </w:t>
                            </w:r>
                            <w:r>
                              <w:t>a group</w:t>
                            </w:r>
                            <w:r w:rsidRPr="00BF0B52">
                              <w:t xml:space="preserve"> and the SRG</w:t>
                            </w:r>
                            <w:r>
                              <w:t>s</w:t>
                            </w:r>
                            <w:r w:rsidRPr="00BF0B52">
                              <w:t xml:space="preserve"> will take responsibility for </w:t>
                            </w:r>
                            <w:r>
                              <w:t xml:space="preserve">the </w:t>
                            </w:r>
                            <w:r w:rsidRPr="00BF0B52">
                              <w:t xml:space="preserve">utilization by its individual members and for repayment </w:t>
                            </w:r>
                            <w:r>
                              <w:t>of the whole loan</w:t>
                            </w:r>
                            <w:r w:rsidRPr="00BF0B52">
                              <w:t>. Loans will be provided for the SRGs and CBOs organized by the ICDP/CDRT projects, which are in need of additional capital for fulfilling the demand of their members. The SRGs requesting wholesale loan</w:t>
                            </w:r>
                            <w:r>
                              <w:t>s</w:t>
                            </w:r>
                            <w:r w:rsidRPr="00BF0B52">
                              <w:t xml:space="preserve"> </w:t>
                            </w:r>
                            <w:r>
                              <w:t xml:space="preserve">as recommended by the ICDP/CDRT projects will be </w:t>
                            </w:r>
                            <w:r w:rsidRPr="00BF0B52">
                              <w:t>selected by Pact</w:t>
                            </w:r>
                            <w:r>
                              <w:t>,</w:t>
                            </w:r>
                            <w:r w:rsidRPr="00BF0B52">
                              <w:t xml:space="preserve"> based on its selection criteria and the viability of </w:t>
                            </w:r>
                            <w:r>
                              <w:t xml:space="preserve">the </w:t>
                            </w:r>
                            <w:r w:rsidRPr="00BF0B52">
                              <w:t>business</w:t>
                            </w:r>
                            <w:r>
                              <w:t>es</w:t>
                            </w:r>
                            <w:r w:rsidRPr="00BF0B52">
                              <w:t xml:space="preserve"> proposed by the SRGs. The terms and conditions of the wholesale loan</w:t>
                            </w:r>
                            <w:r>
                              <w:t xml:space="preserve"> are as follows</w:t>
                            </w:r>
                            <w:r w:rsidRPr="00BF0B52">
                              <w:t>:</w:t>
                            </w:r>
                          </w:p>
                          <w:p w:rsidR="007A437E" w:rsidRDefault="007A437E" w:rsidP="00B62B4D">
                            <w:pPr>
                              <w:spacing w:after="0" w:line="240" w:lineRule="auto"/>
                              <w:jc w:val="both"/>
                              <w:rPr>
                                <w:b/>
                              </w:rPr>
                            </w:pPr>
                          </w:p>
                          <w:p w:rsidR="007A437E" w:rsidRDefault="007A437E" w:rsidP="00B62B4D">
                            <w:pPr>
                              <w:spacing w:after="0" w:line="240" w:lineRule="auto"/>
                              <w:jc w:val="both"/>
                              <w:rPr>
                                <w:b/>
                              </w:rPr>
                            </w:pPr>
                            <w:r w:rsidRPr="00BF0B52">
                              <w:rPr>
                                <w:b/>
                              </w:rPr>
                              <w:t>Eligibility</w:t>
                            </w:r>
                          </w:p>
                          <w:p w:rsidR="007A437E" w:rsidRDefault="007A437E" w:rsidP="00B62B4D">
                            <w:pPr>
                              <w:tabs>
                                <w:tab w:val="left" w:pos="360"/>
                              </w:tabs>
                              <w:spacing w:after="0" w:line="240" w:lineRule="auto"/>
                              <w:ind w:left="360" w:hanging="360"/>
                              <w:jc w:val="both"/>
                            </w:pPr>
                            <w:r w:rsidRPr="00BF0B52">
                              <w:t>•</w:t>
                            </w:r>
                            <w:r w:rsidRPr="00BF0B52">
                              <w:tab/>
                              <w:t>Strong recommendation by the sponsoring UNDP Project (ICDP/CDRT) for the SRG for wholesale loan</w:t>
                            </w:r>
                            <w:r>
                              <w:t>.</w:t>
                            </w:r>
                          </w:p>
                          <w:p w:rsidR="007A437E" w:rsidRDefault="007A437E" w:rsidP="00B62B4D">
                            <w:pPr>
                              <w:tabs>
                                <w:tab w:val="left" w:pos="360"/>
                              </w:tabs>
                              <w:spacing w:after="0" w:line="240" w:lineRule="auto"/>
                              <w:ind w:left="360" w:hanging="360"/>
                              <w:jc w:val="both"/>
                            </w:pPr>
                            <w:r w:rsidRPr="00BF0B52">
                              <w:t>•</w:t>
                            </w:r>
                            <w:r w:rsidRPr="00BF0B52">
                              <w:tab/>
                              <w:t xml:space="preserve">Only SRGs/CBOs organized and trained by UNDP </w:t>
                            </w:r>
                            <w:r>
                              <w:t>p</w:t>
                            </w:r>
                            <w:r w:rsidRPr="00BF0B52">
                              <w:t>rojects</w:t>
                            </w:r>
                            <w:r>
                              <w:t xml:space="preserve"> </w:t>
                            </w:r>
                            <w:r w:rsidRPr="00BF0B52">
                              <w:t>will be eligible to access this wholesale loan</w:t>
                            </w:r>
                            <w:r>
                              <w:t>.</w:t>
                            </w:r>
                          </w:p>
                          <w:p w:rsidR="007A437E" w:rsidRDefault="007A437E" w:rsidP="00B62B4D">
                            <w:pPr>
                              <w:tabs>
                                <w:tab w:val="left" w:pos="360"/>
                              </w:tabs>
                              <w:spacing w:after="0" w:line="240" w:lineRule="auto"/>
                              <w:ind w:left="360" w:hanging="360"/>
                              <w:jc w:val="both"/>
                            </w:pPr>
                            <w:r w:rsidRPr="00BF0B52">
                              <w:t>•</w:t>
                            </w:r>
                            <w:r w:rsidRPr="00BF0B52">
                              <w:tab/>
                              <w:t>Members of the SRGs are well</w:t>
                            </w:r>
                            <w:r>
                              <w:t>-</w:t>
                            </w:r>
                            <w:r w:rsidRPr="00BF0B52">
                              <w:t xml:space="preserve">trained and </w:t>
                            </w:r>
                            <w:r>
                              <w:t xml:space="preserve">have </w:t>
                            </w:r>
                            <w:r w:rsidRPr="00BF0B52">
                              <w:t>passed through the selection criteria by capacity assessment checklist.</w:t>
                            </w:r>
                          </w:p>
                          <w:p w:rsidR="007A437E" w:rsidRDefault="007A437E" w:rsidP="00B62B4D">
                            <w:pPr>
                              <w:tabs>
                                <w:tab w:val="left" w:pos="360"/>
                              </w:tabs>
                              <w:spacing w:after="0" w:line="240" w:lineRule="auto"/>
                              <w:ind w:left="360" w:hanging="360"/>
                              <w:jc w:val="both"/>
                            </w:pPr>
                            <w:r w:rsidRPr="00BF0B52">
                              <w:t>•</w:t>
                            </w:r>
                            <w:r w:rsidRPr="00BF0B52">
                              <w:tab/>
                              <w:t>Members of the SRGs hav</w:t>
                            </w:r>
                            <w:r>
                              <w:t>e</w:t>
                            </w:r>
                            <w:r w:rsidRPr="00BF0B52">
                              <w:t xml:space="preserve"> proven </w:t>
                            </w:r>
                            <w:r>
                              <w:t xml:space="preserve">track </w:t>
                            </w:r>
                            <w:r w:rsidRPr="00BF0B52">
                              <w:t xml:space="preserve">records for managing at least </w:t>
                            </w:r>
                            <w:r>
                              <w:t>two</w:t>
                            </w:r>
                            <w:r w:rsidRPr="00BF0B52">
                              <w:t xml:space="preserve"> cycles of own loan activities</w:t>
                            </w:r>
                            <w:r>
                              <w:t>.</w:t>
                            </w:r>
                          </w:p>
                          <w:p w:rsidR="007A437E" w:rsidRDefault="007A437E" w:rsidP="00B62B4D">
                            <w:pPr>
                              <w:tabs>
                                <w:tab w:val="left" w:pos="360"/>
                              </w:tabs>
                              <w:spacing w:after="0" w:line="240" w:lineRule="auto"/>
                              <w:jc w:val="both"/>
                            </w:pPr>
                            <w:r w:rsidRPr="00BF0B52">
                              <w:t>•</w:t>
                            </w:r>
                            <w:r w:rsidRPr="00BF0B52">
                              <w:tab/>
                            </w:r>
                            <w:r>
                              <w:t>SRGs must u</w:t>
                            </w:r>
                            <w:r w:rsidRPr="00BF0B52">
                              <w:t>ndertake to follow the MFP loan discipline and repayment schedule</w:t>
                            </w:r>
                            <w:r>
                              <w:t>.</w:t>
                            </w:r>
                          </w:p>
                          <w:p w:rsidR="007A437E" w:rsidRDefault="007A437E" w:rsidP="00B62B4D">
                            <w:pPr>
                              <w:tabs>
                                <w:tab w:val="left" w:pos="360"/>
                              </w:tabs>
                              <w:spacing w:after="0" w:line="240" w:lineRule="auto"/>
                              <w:jc w:val="both"/>
                            </w:pPr>
                          </w:p>
                          <w:p w:rsidR="007A437E" w:rsidRDefault="007A437E" w:rsidP="00B62B4D">
                            <w:pPr>
                              <w:spacing w:after="0" w:line="240" w:lineRule="auto"/>
                              <w:jc w:val="both"/>
                              <w:rPr>
                                <w:b/>
                              </w:rPr>
                            </w:pPr>
                            <w:r w:rsidRPr="00BF0B52">
                              <w:rPr>
                                <w:b/>
                              </w:rPr>
                              <w:t xml:space="preserve">Loan </w:t>
                            </w:r>
                            <w:r>
                              <w:rPr>
                                <w:b/>
                              </w:rPr>
                              <w:t>S</w:t>
                            </w:r>
                            <w:r w:rsidRPr="00BF0B52">
                              <w:rPr>
                                <w:b/>
                              </w:rPr>
                              <w:t>ize</w:t>
                            </w:r>
                          </w:p>
                          <w:p w:rsidR="007A437E" w:rsidRDefault="007A437E" w:rsidP="00B62B4D">
                            <w:pPr>
                              <w:pStyle w:val="ListParagraph"/>
                              <w:numPr>
                                <w:ilvl w:val="0"/>
                                <w:numId w:val="8"/>
                              </w:numPr>
                              <w:tabs>
                                <w:tab w:val="left" w:pos="360"/>
                              </w:tabs>
                              <w:spacing w:after="0" w:line="240" w:lineRule="auto"/>
                              <w:ind w:hanging="720"/>
                              <w:contextualSpacing w:val="0"/>
                              <w:jc w:val="both"/>
                            </w:pPr>
                            <w:r w:rsidRPr="00BF0B52">
                              <w:t>Loan size will be decided depending on capacity of the SRG and the proposed business.</w:t>
                            </w:r>
                          </w:p>
                          <w:p w:rsidR="007A437E" w:rsidRDefault="007A437E" w:rsidP="00B62B4D">
                            <w:pPr>
                              <w:pStyle w:val="ListParagraph"/>
                              <w:numPr>
                                <w:ilvl w:val="0"/>
                                <w:numId w:val="8"/>
                              </w:numPr>
                              <w:tabs>
                                <w:tab w:val="left" w:pos="360"/>
                              </w:tabs>
                              <w:spacing w:after="0" w:line="240" w:lineRule="auto"/>
                              <w:ind w:hanging="720"/>
                              <w:contextualSpacing w:val="0"/>
                              <w:jc w:val="both"/>
                            </w:pPr>
                            <w:r w:rsidRPr="00BF0B52">
                              <w:t>Maximum</w:t>
                            </w:r>
                            <w:r>
                              <w:t xml:space="preserve"> K 1,500,000 </w:t>
                            </w:r>
                            <w:r w:rsidRPr="00BF0B52">
                              <w:t>per SRG will be allowed</w:t>
                            </w:r>
                            <w:r>
                              <w:t xml:space="preserve"> in the first cycle</w:t>
                            </w:r>
                            <w:r w:rsidRPr="00BF0B52">
                              <w:t>.</w:t>
                            </w:r>
                          </w:p>
                          <w:p w:rsidR="007A437E" w:rsidRDefault="007A437E" w:rsidP="00B62B4D">
                            <w:pPr>
                              <w:pStyle w:val="ListParagraph"/>
                              <w:numPr>
                                <w:ilvl w:val="0"/>
                                <w:numId w:val="8"/>
                              </w:numPr>
                              <w:tabs>
                                <w:tab w:val="left" w:pos="360"/>
                              </w:tabs>
                              <w:spacing w:after="0" w:line="240" w:lineRule="auto"/>
                              <w:ind w:hanging="720"/>
                              <w:contextualSpacing w:val="0"/>
                              <w:jc w:val="both"/>
                            </w:pPr>
                            <w:r w:rsidRPr="00BF0B52">
                              <w:t>Subsequent loan size will depend on the performance of the previous loan taken from MFP</w:t>
                            </w:r>
                            <w:r>
                              <w:t>.</w:t>
                            </w:r>
                          </w:p>
                          <w:p w:rsidR="007A437E" w:rsidRDefault="007A437E" w:rsidP="00B62B4D">
                            <w:pPr>
                              <w:spacing w:after="0" w:line="240" w:lineRule="auto"/>
                              <w:jc w:val="both"/>
                              <w:rPr>
                                <w:b/>
                              </w:rPr>
                            </w:pPr>
                          </w:p>
                          <w:p w:rsidR="007A437E" w:rsidRDefault="007A437E" w:rsidP="00B62B4D">
                            <w:pPr>
                              <w:spacing w:after="0" w:line="240" w:lineRule="auto"/>
                              <w:jc w:val="both"/>
                              <w:rPr>
                                <w:b/>
                              </w:rPr>
                            </w:pPr>
                            <w:r w:rsidRPr="00BF0B52">
                              <w:rPr>
                                <w:b/>
                              </w:rPr>
                              <w:t>Loan Terms</w:t>
                            </w:r>
                          </w:p>
                          <w:p w:rsidR="007A437E" w:rsidRDefault="007A437E" w:rsidP="00B62B4D">
                            <w:pPr>
                              <w:pStyle w:val="ListParagraph"/>
                              <w:numPr>
                                <w:ilvl w:val="0"/>
                                <w:numId w:val="8"/>
                              </w:numPr>
                              <w:tabs>
                                <w:tab w:val="left" w:pos="360"/>
                              </w:tabs>
                              <w:spacing w:after="0" w:line="240" w:lineRule="auto"/>
                              <w:ind w:left="360"/>
                              <w:contextualSpacing w:val="0"/>
                              <w:jc w:val="both"/>
                            </w:pPr>
                            <w:r>
                              <w:t xml:space="preserve">Maximum </w:t>
                            </w:r>
                            <w:r w:rsidRPr="00BF0B52">
                              <w:t>12 months with a mutually agreed loan repayment schedule</w:t>
                            </w:r>
                            <w:r>
                              <w:t>.</w:t>
                            </w:r>
                          </w:p>
                          <w:p w:rsidR="007A437E" w:rsidRDefault="007A437E" w:rsidP="00B62B4D">
                            <w:pPr>
                              <w:pStyle w:val="ListParagraph"/>
                              <w:numPr>
                                <w:ilvl w:val="0"/>
                                <w:numId w:val="8"/>
                              </w:numPr>
                              <w:tabs>
                                <w:tab w:val="left" w:pos="360"/>
                              </w:tabs>
                              <w:spacing w:after="0" w:line="240" w:lineRule="auto"/>
                              <w:ind w:left="360"/>
                              <w:contextualSpacing w:val="0"/>
                              <w:jc w:val="both"/>
                            </w:pPr>
                            <w:r w:rsidRPr="00BF0B52">
                              <w:t>The SRG management committee will be the third party guarantor for the MFP loan to the SRG</w:t>
                            </w:r>
                            <w:r>
                              <w:t>.</w:t>
                            </w:r>
                          </w:p>
                          <w:p w:rsidR="007A437E" w:rsidRDefault="007A437E" w:rsidP="00B62B4D">
                            <w:pPr>
                              <w:pStyle w:val="ListParagraph"/>
                              <w:numPr>
                                <w:ilvl w:val="0"/>
                                <w:numId w:val="8"/>
                              </w:numPr>
                              <w:tabs>
                                <w:tab w:val="left" w:pos="360"/>
                              </w:tabs>
                              <w:spacing w:after="0" w:line="240" w:lineRule="auto"/>
                              <w:ind w:left="360"/>
                              <w:contextualSpacing w:val="0"/>
                              <w:jc w:val="both"/>
                            </w:pPr>
                            <w:r w:rsidRPr="00BF0B52">
                              <w:t>SRG leadership will collaborate with the MFP Loan Monitors and Field Trainers for successful implementation of the program</w:t>
                            </w:r>
                            <w:r>
                              <w:t>.</w:t>
                            </w:r>
                          </w:p>
                          <w:p w:rsidR="007A437E" w:rsidRDefault="007A437E" w:rsidP="00B62B4D">
                            <w:pPr>
                              <w:pStyle w:val="ListParagraph"/>
                              <w:tabs>
                                <w:tab w:val="left" w:pos="360"/>
                              </w:tabs>
                              <w:spacing w:after="0" w:line="240" w:lineRule="auto"/>
                              <w:ind w:left="360"/>
                              <w:contextualSpacing w:val="0"/>
                              <w:jc w:val="both"/>
                            </w:pPr>
                          </w:p>
                          <w:p w:rsidR="007A437E" w:rsidRDefault="007A437E" w:rsidP="00B62B4D">
                            <w:pPr>
                              <w:spacing w:after="0" w:line="240" w:lineRule="auto"/>
                              <w:jc w:val="both"/>
                              <w:rPr>
                                <w:b/>
                              </w:rPr>
                            </w:pPr>
                            <w:r>
                              <w:rPr>
                                <w:b/>
                              </w:rPr>
                              <w:t>Interest Rate</w:t>
                            </w:r>
                          </w:p>
                          <w:p w:rsidR="007A437E" w:rsidRDefault="007A437E" w:rsidP="00B62B4D">
                            <w:pPr>
                              <w:pStyle w:val="ListParagraph"/>
                              <w:numPr>
                                <w:ilvl w:val="0"/>
                                <w:numId w:val="8"/>
                              </w:numPr>
                              <w:tabs>
                                <w:tab w:val="left" w:pos="360"/>
                              </w:tabs>
                              <w:spacing w:after="0" w:line="240" w:lineRule="auto"/>
                              <w:ind w:hanging="720"/>
                              <w:jc w:val="both"/>
                              <w:rPr>
                                <w:b/>
                              </w:rPr>
                            </w:pPr>
                            <w:r w:rsidRPr="00BF0B52">
                              <w:t>Interest rate for wholesale loan is 3% per month</w:t>
                            </w:r>
                            <w:r>
                              <w:t xml:space="preserve"> (2.5% from 1</w:t>
                            </w:r>
                            <w:r w:rsidRPr="009D7DD2">
                              <w:rPr>
                                <w:vertAlign w:val="superscript"/>
                              </w:rPr>
                              <w:t>st</w:t>
                            </w:r>
                            <w:r>
                              <w:t xml:space="preserve"> April 2012).</w:t>
                            </w:r>
                          </w:p>
                          <w:p w:rsidR="007A437E" w:rsidRDefault="007A437E" w:rsidP="00B62B4D">
                            <w:pPr>
                              <w:pStyle w:val="ListParagraph"/>
                              <w:numPr>
                                <w:ilvl w:val="0"/>
                                <w:numId w:val="8"/>
                              </w:numPr>
                              <w:tabs>
                                <w:tab w:val="left" w:pos="360"/>
                              </w:tabs>
                              <w:spacing w:after="0" w:line="240" w:lineRule="auto"/>
                              <w:ind w:left="397" w:hanging="397"/>
                              <w:jc w:val="both"/>
                              <w:rPr>
                                <w:b/>
                              </w:rPr>
                            </w:pPr>
                            <w:r w:rsidRPr="00BF0B52">
                              <w:t>MFP will pay 20% interest on the SRG savings/common fund deposited with the project</w:t>
                            </w:r>
                            <w:r>
                              <w:t xml:space="preserve"> (15% from 1</w:t>
                            </w:r>
                            <w:r w:rsidRPr="009D7DD2">
                              <w:rPr>
                                <w:vertAlign w:val="superscript"/>
                              </w:rPr>
                              <w:t>st</w:t>
                            </w:r>
                            <w:r>
                              <w:t xml:space="preserve"> Apr 2012).</w:t>
                            </w:r>
                          </w:p>
                          <w:p w:rsidR="007A437E" w:rsidRDefault="007A437E" w:rsidP="00B62B4D">
                            <w:pPr>
                              <w:tabs>
                                <w:tab w:val="left" w:pos="360"/>
                              </w:tabs>
                              <w:spacing w:after="0" w:line="240" w:lineRule="auto"/>
                              <w:jc w:val="both"/>
                              <w:rPr>
                                <w:b/>
                              </w:rPr>
                            </w:pPr>
                          </w:p>
                          <w:p w:rsidR="007A437E" w:rsidRDefault="007A437E" w:rsidP="00B62B4D">
                            <w:pPr>
                              <w:tabs>
                                <w:tab w:val="left" w:pos="360"/>
                              </w:tabs>
                              <w:spacing w:after="0" w:line="240" w:lineRule="auto"/>
                              <w:jc w:val="both"/>
                              <w:rPr>
                                <w:b/>
                              </w:rPr>
                            </w:pPr>
                            <w:r w:rsidRPr="00BF0B52">
                              <w:rPr>
                                <w:b/>
                              </w:rPr>
                              <w:t>Repayment</w:t>
                            </w:r>
                          </w:p>
                          <w:p w:rsidR="007A437E" w:rsidRDefault="007A437E" w:rsidP="00B62B4D">
                            <w:pPr>
                              <w:pStyle w:val="ListParagraph"/>
                              <w:numPr>
                                <w:ilvl w:val="0"/>
                                <w:numId w:val="9"/>
                              </w:numPr>
                              <w:tabs>
                                <w:tab w:val="left" w:pos="360"/>
                              </w:tabs>
                              <w:spacing w:after="0" w:line="240" w:lineRule="auto"/>
                              <w:ind w:hanging="720"/>
                              <w:jc w:val="both"/>
                            </w:pPr>
                            <w:r>
                              <w:t>Bi-weekly/m</w:t>
                            </w:r>
                            <w:r w:rsidRPr="00BF0B52">
                              <w:t>onthly/</w:t>
                            </w:r>
                            <w:r>
                              <w:t>q</w:t>
                            </w:r>
                            <w:r w:rsidRPr="00BF0B52">
                              <w:t>uarterly</w:t>
                            </w:r>
                            <w:r>
                              <w:t xml:space="preserve">/biannual </w:t>
                            </w:r>
                            <w:r w:rsidRPr="00BF0B52">
                              <w:t>repayment</w:t>
                            </w:r>
                            <w:r>
                              <w:t>s</w:t>
                            </w:r>
                            <w:r w:rsidRPr="00BF0B52">
                              <w:t xml:space="preserve"> of interest and principal as agreed.</w:t>
                            </w:r>
                          </w:p>
                          <w:p w:rsidR="007A437E" w:rsidRDefault="007A437E" w:rsidP="00B62B4D">
                            <w:pPr>
                              <w:pStyle w:val="ListParagraph"/>
                              <w:numPr>
                                <w:ilvl w:val="0"/>
                                <w:numId w:val="9"/>
                              </w:numPr>
                              <w:tabs>
                                <w:tab w:val="left" w:pos="360"/>
                              </w:tabs>
                              <w:spacing w:after="0" w:line="240" w:lineRule="auto"/>
                              <w:ind w:left="360"/>
                              <w:jc w:val="both"/>
                            </w:pPr>
                            <w:r w:rsidRPr="00BF0B52">
                              <w:t xml:space="preserve">Settling of the whole outstanding amount before due date will be accepted along with the </w:t>
                            </w:r>
                            <w:r>
                              <w:t xml:space="preserve">due </w:t>
                            </w:r>
                            <w:r w:rsidRPr="00BF0B52">
                              <w:t>interest</w:t>
                            </w:r>
                            <w:r>
                              <w:t>.</w:t>
                            </w:r>
                            <w:r w:rsidRPr="00BF0B52">
                              <w:t xml:space="preserve"> </w:t>
                            </w:r>
                          </w:p>
                          <w:p w:rsidR="007A437E" w:rsidRDefault="007A437E" w:rsidP="00B62B4D">
                            <w:pPr>
                              <w:pStyle w:val="ListParagraph"/>
                              <w:tabs>
                                <w:tab w:val="left" w:pos="360"/>
                              </w:tabs>
                              <w:spacing w:after="0" w:line="240" w:lineRule="auto"/>
                              <w:ind w:left="360"/>
                              <w:jc w:val="both"/>
                            </w:pPr>
                          </w:p>
                          <w:p w:rsidR="007A437E" w:rsidRDefault="007A437E" w:rsidP="00B62B4D">
                            <w:pPr>
                              <w:spacing w:after="0" w:line="240" w:lineRule="auto"/>
                              <w:jc w:val="both"/>
                              <w:rPr>
                                <w:b/>
                              </w:rPr>
                            </w:pPr>
                            <w:r w:rsidRPr="00BF0B52">
                              <w:rPr>
                                <w:b/>
                              </w:rPr>
                              <w:t>Subsequent loans</w:t>
                            </w:r>
                          </w:p>
                          <w:p w:rsidR="007A437E" w:rsidRDefault="007A437E" w:rsidP="00B62B4D">
                            <w:pPr>
                              <w:pStyle w:val="ListParagraph"/>
                              <w:numPr>
                                <w:ilvl w:val="0"/>
                                <w:numId w:val="10"/>
                              </w:numPr>
                              <w:tabs>
                                <w:tab w:val="left" w:pos="360"/>
                              </w:tabs>
                              <w:spacing w:after="0" w:line="240" w:lineRule="auto"/>
                              <w:ind w:left="360"/>
                              <w:jc w:val="both"/>
                            </w:pPr>
                            <w:r w:rsidRPr="00BF0B52">
                              <w:t xml:space="preserve">After successful repayment of the current loan, </w:t>
                            </w:r>
                            <w:r>
                              <w:t xml:space="preserve">application for the </w:t>
                            </w:r>
                            <w:r w:rsidRPr="00BF0B52">
                              <w:t xml:space="preserve">next loan can be </w:t>
                            </w:r>
                            <w:r>
                              <w:t>made</w:t>
                            </w:r>
                            <w:r w:rsidRPr="00BF0B52">
                              <w:t>. Usually new loan app</w:t>
                            </w: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roofErr w:type="spellStart"/>
                            <w:proofErr w:type="gramStart"/>
                            <w:r w:rsidRPr="00BF0B52">
                              <w:t>lications</w:t>
                            </w:r>
                            <w:proofErr w:type="spellEnd"/>
                            <w:proofErr w:type="gramEnd"/>
                            <w:r w:rsidRPr="00BF0B52">
                              <w:t xml:space="preserve"> are processed during the last repayment installment period of the previous loan</w:t>
                            </w:r>
                            <w:r>
                              <w:t>.</w:t>
                            </w:r>
                          </w:p>
                          <w:p w:rsidR="007A437E" w:rsidRDefault="007A437E" w:rsidP="00B62B4D">
                            <w:pPr>
                              <w:tabs>
                                <w:tab w:val="left" w:pos="360"/>
                              </w:tabs>
                              <w:spacing w:after="6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pt;margin-top:17.55pt;width:461.85pt;height:563.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" strokecolor="red">
                <v:stroke linestyle="thinThin"/>
                <v:textbox>
                  <w:txbxContent>
                    <w:p w:rsidR="007A437E" w:rsidRDefault="007A437E" w:rsidP="00B62B4D">
                      <w:pPr>
                        <w:spacing w:after="0" w:line="240" w:lineRule="auto"/>
                        <w:rPr>
                          <w:b/>
                        </w:rPr>
                      </w:pPr>
                      <w:r w:rsidRPr="00BF0B52">
                        <w:rPr>
                          <w:b/>
                        </w:rPr>
                        <w:t xml:space="preserve">General Description: </w:t>
                      </w:r>
                    </w:p>
                    <w:p w:rsidR="007A437E" w:rsidRDefault="007A437E" w:rsidP="00B62B4D">
                      <w:pPr>
                        <w:spacing w:after="0" w:line="240" w:lineRule="auto"/>
                        <w:rPr>
                          <w:b/>
                        </w:rPr>
                      </w:pPr>
                    </w:p>
                    <w:p w:rsidR="007A437E" w:rsidRDefault="007A437E" w:rsidP="00B62B4D">
                      <w:pPr>
                        <w:spacing w:after="0" w:line="240" w:lineRule="auto"/>
                        <w:jc w:val="both"/>
                      </w:pPr>
                      <w:r w:rsidRPr="00BF0B52">
                        <w:t xml:space="preserve">Wholesale </w:t>
                      </w:r>
                      <w:r>
                        <w:t>l</w:t>
                      </w:r>
                      <w:r w:rsidRPr="00BF0B52">
                        <w:t>oans will be given to the SRG</w:t>
                      </w:r>
                      <w:r>
                        <w:t>s</w:t>
                      </w:r>
                      <w:r w:rsidRPr="00BF0B52">
                        <w:t xml:space="preserve"> as </w:t>
                      </w:r>
                      <w:r>
                        <w:t>a group</w:t>
                      </w:r>
                      <w:r w:rsidRPr="00BF0B52">
                        <w:t xml:space="preserve"> and the SRG</w:t>
                      </w:r>
                      <w:r>
                        <w:t>s</w:t>
                      </w:r>
                      <w:r w:rsidRPr="00BF0B52">
                        <w:t xml:space="preserve"> will take responsibility for </w:t>
                      </w:r>
                      <w:r>
                        <w:t xml:space="preserve">the </w:t>
                      </w:r>
                      <w:r w:rsidRPr="00BF0B52">
                        <w:t xml:space="preserve">utilization by its individual members and for repayment </w:t>
                      </w:r>
                      <w:r>
                        <w:t>of the whole loan</w:t>
                      </w:r>
                      <w:r w:rsidRPr="00BF0B52">
                        <w:t>. Loans will be provided for the SRGs and CBOs organized by the ICDP/CDRT projects, which are in need of additional capital for fulfilling the demand of their members. The SRGs requesting wholesale loan</w:t>
                      </w:r>
                      <w:r>
                        <w:t>s</w:t>
                      </w:r>
                      <w:r w:rsidRPr="00BF0B52">
                        <w:t xml:space="preserve"> </w:t>
                      </w:r>
                      <w:r>
                        <w:t xml:space="preserve">as recommended by the ICDP/CDRT projects will be </w:t>
                      </w:r>
                      <w:r w:rsidRPr="00BF0B52">
                        <w:t>selected by Pact</w:t>
                      </w:r>
                      <w:r>
                        <w:t>,</w:t>
                      </w:r>
                      <w:r w:rsidRPr="00BF0B52">
                        <w:t xml:space="preserve"> based on its selection criteria and the viability of </w:t>
                      </w:r>
                      <w:r>
                        <w:t xml:space="preserve">the </w:t>
                      </w:r>
                      <w:r w:rsidRPr="00BF0B52">
                        <w:t>business</w:t>
                      </w:r>
                      <w:r>
                        <w:t>es</w:t>
                      </w:r>
                      <w:r w:rsidRPr="00BF0B52">
                        <w:t xml:space="preserve"> proposed by the SRGs. The terms and conditions of the wholesale loan</w:t>
                      </w:r>
                      <w:r>
                        <w:t xml:space="preserve"> are as follows</w:t>
                      </w:r>
                      <w:r w:rsidRPr="00BF0B52">
                        <w:t>:</w:t>
                      </w:r>
                    </w:p>
                    <w:p w:rsidR="007A437E" w:rsidRDefault="007A437E" w:rsidP="00B62B4D">
                      <w:pPr>
                        <w:spacing w:after="0" w:line="240" w:lineRule="auto"/>
                        <w:jc w:val="both"/>
                        <w:rPr>
                          <w:b/>
                        </w:rPr>
                      </w:pPr>
                    </w:p>
                    <w:p w:rsidR="007A437E" w:rsidRDefault="007A437E" w:rsidP="00B62B4D">
                      <w:pPr>
                        <w:spacing w:after="0" w:line="240" w:lineRule="auto"/>
                        <w:jc w:val="both"/>
                        <w:rPr>
                          <w:b/>
                        </w:rPr>
                      </w:pPr>
                      <w:r w:rsidRPr="00BF0B52">
                        <w:rPr>
                          <w:b/>
                        </w:rPr>
                        <w:t>Eligibility</w:t>
                      </w:r>
                    </w:p>
                    <w:p w:rsidR="007A437E" w:rsidRDefault="007A437E" w:rsidP="00B62B4D">
                      <w:pPr>
                        <w:tabs>
                          <w:tab w:val="left" w:pos="360"/>
                        </w:tabs>
                        <w:spacing w:after="0" w:line="240" w:lineRule="auto"/>
                        <w:ind w:left="360" w:hanging="360"/>
                        <w:jc w:val="both"/>
                      </w:pPr>
                      <w:r w:rsidRPr="00BF0B52">
                        <w:t>•</w:t>
                      </w:r>
                      <w:r w:rsidRPr="00BF0B52">
                        <w:tab/>
                        <w:t>Strong recommendation by the sponsoring UNDP Project (ICDP/CDRT) for the SRG for wholesale loan</w:t>
                      </w:r>
                      <w:r>
                        <w:t>.</w:t>
                      </w:r>
                    </w:p>
                    <w:p w:rsidR="007A437E" w:rsidRDefault="007A437E" w:rsidP="00B62B4D">
                      <w:pPr>
                        <w:tabs>
                          <w:tab w:val="left" w:pos="360"/>
                        </w:tabs>
                        <w:spacing w:after="0" w:line="240" w:lineRule="auto"/>
                        <w:ind w:left="360" w:hanging="360"/>
                        <w:jc w:val="both"/>
                      </w:pPr>
                      <w:r w:rsidRPr="00BF0B52">
                        <w:t>•</w:t>
                      </w:r>
                      <w:r w:rsidRPr="00BF0B52">
                        <w:tab/>
                        <w:t xml:space="preserve">Only SRGs/CBOs organized and trained by UNDP </w:t>
                      </w:r>
                      <w:r>
                        <w:t>p</w:t>
                      </w:r>
                      <w:r w:rsidRPr="00BF0B52">
                        <w:t>rojects</w:t>
                      </w:r>
                      <w:r>
                        <w:t xml:space="preserve"> </w:t>
                      </w:r>
                      <w:r w:rsidRPr="00BF0B52">
                        <w:t>will be eligible to access this wholesale loan</w:t>
                      </w:r>
                      <w:r>
                        <w:t>.</w:t>
                      </w:r>
                    </w:p>
                    <w:p w:rsidR="007A437E" w:rsidRDefault="007A437E" w:rsidP="00B62B4D">
                      <w:pPr>
                        <w:tabs>
                          <w:tab w:val="left" w:pos="360"/>
                        </w:tabs>
                        <w:spacing w:after="0" w:line="240" w:lineRule="auto"/>
                        <w:ind w:left="360" w:hanging="360"/>
                        <w:jc w:val="both"/>
                      </w:pPr>
                      <w:r w:rsidRPr="00BF0B52">
                        <w:t>•</w:t>
                      </w:r>
                      <w:r w:rsidRPr="00BF0B52">
                        <w:tab/>
                        <w:t>Members of the SRGs are well</w:t>
                      </w:r>
                      <w:r>
                        <w:t>-</w:t>
                      </w:r>
                      <w:r w:rsidRPr="00BF0B52">
                        <w:t xml:space="preserve">trained and </w:t>
                      </w:r>
                      <w:r>
                        <w:t xml:space="preserve">have </w:t>
                      </w:r>
                      <w:r w:rsidRPr="00BF0B52">
                        <w:t>passed through the selection criteria by capacity assessment checklist.</w:t>
                      </w:r>
                    </w:p>
                    <w:p w:rsidR="007A437E" w:rsidRDefault="007A437E" w:rsidP="00B62B4D">
                      <w:pPr>
                        <w:tabs>
                          <w:tab w:val="left" w:pos="360"/>
                        </w:tabs>
                        <w:spacing w:after="0" w:line="240" w:lineRule="auto"/>
                        <w:ind w:left="360" w:hanging="360"/>
                        <w:jc w:val="both"/>
                      </w:pPr>
                      <w:r w:rsidRPr="00BF0B52">
                        <w:t>•</w:t>
                      </w:r>
                      <w:r w:rsidRPr="00BF0B52">
                        <w:tab/>
                        <w:t>Members of the SRGs hav</w:t>
                      </w:r>
                      <w:r>
                        <w:t>e</w:t>
                      </w:r>
                      <w:r w:rsidRPr="00BF0B52">
                        <w:t xml:space="preserve"> proven </w:t>
                      </w:r>
                      <w:r>
                        <w:t xml:space="preserve">track </w:t>
                      </w:r>
                      <w:r w:rsidRPr="00BF0B52">
                        <w:t xml:space="preserve">records for managing at least </w:t>
                      </w:r>
                      <w:r>
                        <w:t>two</w:t>
                      </w:r>
                      <w:r w:rsidRPr="00BF0B52">
                        <w:t xml:space="preserve"> cycles of own loan activities</w:t>
                      </w:r>
                      <w:r>
                        <w:t>.</w:t>
                      </w:r>
                    </w:p>
                    <w:p w:rsidR="007A437E" w:rsidRDefault="007A437E" w:rsidP="00B62B4D">
                      <w:pPr>
                        <w:tabs>
                          <w:tab w:val="left" w:pos="360"/>
                        </w:tabs>
                        <w:spacing w:after="0" w:line="240" w:lineRule="auto"/>
                        <w:jc w:val="both"/>
                      </w:pPr>
                      <w:r w:rsidRPr="00BF0B52">
                        <w:t>•</w:t>
                      </w:r>
                      <w:r w:rsidRPr="00BF0B52">
                        <w:tab/>
                      </w:r>
                      <w:r>
                        <w:t>SRGs must u</w:t>
                      </w:r>
                      <w:r w:rsidRPr="00BF0B52">
                        <w:t>ndertake to follow the MFP loan discipline and repayment schedule</w:t>
                      </w:r>
                      <w:r>
                        <w:t>.</w:t>
                      </w:r>
                    </w:p>
                    <w:p w:rsidR="007A437E" w:rsidRDefault="007A437E" w:rsidP="00B62B4D">
                      <w:pPr>
                        <w:tabs>
                          <w:tab w:val="left" w:pos="360"/>
                        </w:tabs>
                        <w:spacing w:after="0" w:line="240" w:lineRule="auto"/>
                        <w:jc w:val="both"/>
                      </w:pPr>
                    </w:p>
                    <w:p w:rsidR="007A437E" w:rsidRDefault="007A437E" w:rsidP="00B62B4D">
                      <w:pPr>
                        <w:spacing w:after="0" w:line="240" w:lineRule="auto"/>
                        <w:jc w:val="both"/>
                        <w:rPr>
                          <w:b/>
                        </w:rPr>
                      </w:pPr>
                      <w:r w:rsidRPr="00BF0B52">
                        <w:rPr>
                          <w:b/>
                        </w:rPr>
                        <w:t xml:space="preserve">Loan </w:t>
                      </w:r>
                      <w:r>
                        <w:rPr>
                          <w:b/>
                        </w:rPr>
                        <w:t>S</w:t>
                      </w:r>
                      <w:r w:rsidRPr="00BF0B52">
                        <w:rPr>
                          <w:b/>
                        </w:rPr>
                        <w:t>ize</w:t>
                      </w:r>
                    </w:p>
                    <w:p w:rsidR="007A437E" w:rsidRDefault="007A437E" w:rsidP="00B62B4D">
                      <w:pPr>
                        <w:pStyle w:val="ListParagraph"/>
                        <w:numPr>
                          <w:ilvl w:val="0"/>
                          <w:numId w:val="8"/>
                        </w:numPr>
                        <w:tabs>
                          <w:tab w:val="left" w:pos="360"/>
                        </w:tabs>
                        <w:spacing w:after="0" w:line="240" w:lineRule="auto"/>
                        <w:ind w:hanging="720"/>
                        <w:contextualSpacing w:val="0"/>
                        <w:jc w:val="both"/>
                      </w:pPr>
                      <w:r w:rsidRPr="00BF0B52">
                        <w:t>Loan size will be decided depending on capacity of the SRG and the proposed business.</w:t>
                      </w:r>
                    </w:p>
                    <w:p w:rsidR="007A437E" w:rsidRDefault="007A437E" w:rsidP="00B62B4D">
                      <w:pPr>
                        <w:pStyle w:val="ListParagraph"/>
                        <w:numPr>
                          <w:ilvl w:val="0"/>
                          <w:numId w:val="8"/>
                        </w:numPr>
                        <w:tabs>
                          <w:tab w:val="left" w:pos="360"/>
                        </w:tabs>
                        <w:spacing w:after="0" w:line="240" w:lineRule="auto"/>
                        <w:ind w:hanging="720"/>
                        <w:contextualSpacing w:val="0"/>
                        <w:jc w:val="both"/>
                      </w:pPr>
                      <w:r w:rsidRPr="00BF0B52">
                        <w:t>Maximum</w:t>
                      </w:r>
                      <w:r>
                        <w:t xml:space="preserve"> K 1,500,000 </w:t>
                      </w:r>
                      <w:r w:rsidRPr="00BF0B52">
                        <w:t>per SRG will be allowed</w:t>
                      </w:r>
                      <w:r>
                        <w:t xml:space="preserve"> in the first cycle</w:t>
                      </w:r>
                      <w:r w:rsidRPr="00BF0B52">
                        <w:t>.</w:t>
                      </w:r>
                    </w:p>
                    <w:p w:rsidR="007A437E" w:rsidRDefault="007A437E" w:rsidP="00B62B4D">
                      <w:pPr>
                        <w:pStyle w:val="ListParagraph"/>
                        <w:numPr>
                          <w:ilvl w:val="0"/>
                          <w:numId w:val="8"/>
                        </w:numPr>
                        <w:tabs>
                          <w:tab w:val="left" w:pos="360"/>
                        </w:tabs>
                        <w:spacing w:after="0" w:line="240" w:lineRule="auto"/>
                        <w:ind w:hanging="720"/>
                        <w:contextualSpacing w:val="0"/>
                        <w:jc w:val="both"/>
                      </w:pPr>
                      <w:r w:rsidRPr="00BF0B52">
                        <w:t>Subsequent loan size will depend on the performance of the previous loan taken from MFP</w:t>
                      </w:r>
                      <w:r>
                        <w:t>.</w:t>
                      </w:r>
                    </w:p>
                    <w:p w:rsidR="007A437E" w:rsidRDefault="007A437E" w:rsidP="00B62B4D">
                      <w:pPr>
                        <w:spacing w:after="0" w:line="240" w:lineRule="auto"/>
                        <w:jc w:val="both"/>
                        <w:rPr>
                          <w:b/>
                        </w:rPr>
                      </w:pPr>
                    </w:p>
                    <w:p w:rsidR="007A437E" w:rsidRDefault="007A437E" w:rsidP="00B62B4D">
                      <w:pPr>
                        <w:spacing w:after="0" w:line="240" w:lineRule="auto"/>
                        <w:jc w:val="both"/>
                        <w:rPr>
                          <w:b/>
                        </w:rPr>
                      </w:pPr>
                      <w:r w:rsidRPr="00BF0B52">
                        <w:rPr>
                          <w:b/>
                        </w:rPr>
                        <w:t>Loan Terms</w:t>
                      </w:r>
                    </w:p>
                    <w:p w:rsidR="007A437E" w:rsidRDefault="007A437E" w:rsidP="00B62B4D">
                      <w:pPr>
                        <w:pStyle w:val="ListParagraph"/>
                        <w:numPr>
                          <w:ilvl w:val="0"/>
                          <w:numId w:val="8"/>
                        </w:numPr>
                        <w:tabs>
                          <w:tab w:val="left" w:pos="360"/>
                        </w:tabs>
                        <w:spacing w:after="0" w:line="240" w:lineRule="auto"/>
                        <w:ind w:left="360"/>
                        <w:contextualSpacing w:val="0"/>
                        <w:jc w:val="both"/>
                      </w:pPr>
                      <w:r>
                        <w:t xml:space="preserve">Maximum </w:t>
                      </w:r>
                      <w:r w:rsidRPr="00BF0B52">
                        <w:t>12 months with a mutually agreed loan repayment schedule</w:t>
                      </w:r>
                      <w:r>
                        <w:t>.</w:t>
                      </w:r>
                    </w:p>
                    <w:p w:rsidR="007A437E" w:rsidRDefault="007A437E" w:rsidP="00B62B4D">
                      <w:pPr>
                        <w:pStyle w:val="ListParagraph"/>
                        <w:numPr>
                          <w:ilvl w:val="0"/>
                          <w:numId w:val="8"/>
                        </w:numPr>
                        <w:tabs>
                          <w:tab w:val="left" w:pos="360"/>
                        </w:tabs>
                        <w:spacing w:after="0" w:line="240" w:lineRule="auto"/>
                        <w:ind w:left="360"/>
                        <w:contextualSpacing w:val="0"/>
                        <w:jc w:val="both"/>
                      </w:pPr>
                      <w:r w:rsidRPr="00BF0B52">
                        <w:t>The SRG management committee will be the third party guarantor for the MFP loan to the SRG</w:t>
                      </w:r>
                      <w:r>
                        <w:t>.</w:t>
                      </w:r>
                    </w:p>
                    <w:p w:rsidR="007A437E" w:rsidRDefault="007A437E" w:rsidP="00B62B4D">
                      <w:pPr>
                        <w:pStyle w:val="ListParagraph"/>
                        <w:numPr>
                          <w:ilvl w:val="0"/>
                          <w:numId w:val="8"/>
                        </w:numPr>
                        <w:tabs>
                          <w:tab w:val="left" w:pos="360"/>
                        </w:tabs>
                        <w:spacing w:after="0" w:line="240" w:lineRule="auto"/>
                        <w:ind w:left="360"/>
                        <w:contextualSpacing w:val="0"/>
                        <w:jc w:val="both"/>
                      </w:pPr>
                      <w:r w:rsidRPr="00BF0B52">
                        <w:t>SRG leadership will collaborate with the MFP Loan Monitors and Field Trainers for successful implementation of the program</w:t>
                      </w:r>
                      <w:r>
                        <w:t>.</w:t>
                      </w:r>
                    </w:p>
                    <w:p w:rsidR="007A437E" w:rsidRDefault="007A437E" w:rsidP="00B62B4D">
                      <w:pPr>
                        <w:pStyle w:val="ListParagraph"/>
                        <w:tabs>
                          <w:tab w:val="left" w:pos="360"/>
                        </w:tabs>
                        <w:spacing w:after="0" w:line="240" w:lineRule="auto"/>
                        <w:ind w:left="360"/>
                        <w:contextualSpacing w:val="0"/>
                        <w:jc w:val="both"/>
                      </w:pPr>
                    </w:p>
                    <w:p w:rsidR="007A437E" w:rsidRDefault="007A437E" w:rsidP="00B62B4D">
                      <w:pPr>
                        <w:spacing w:after="0" w:line="240" w:lineRule="auto"/>
                        <w:jc w:val="both"/>
                        <w:rPr>
                          <w:b/>
                        </w:rPr>
                      </w:pPr>
                      <w:r>
                        <w:rPr>
                          <w:b/>
                        </w:rPr>
                        <w:t>Interest Rate</w:t>
                      </w:r>
                    </w:p>
                    <w:p w:rsidR="007A437E" w:rsidRDefault="007A437E" w:rsidP="00B62B4D">
                      <w:pPr>
                        <w:pStyle w:val="ListParagraph"/>
                        <w:numPr>
                          <w:ilvl w:val="0"/>
                          <w:numId w:val="8"/>
                        </w:numPr>
                        <w:tabs>
                          <w:tab w:val="left" w:pos="360"/>
                        </w:tabs>
                        <w:spacing w:after="0" w:line="240" w:lineRule="auto"/>
                        <w:ind w:hanging="720"/>
                        <w:jc w:val="both"/>
                        <w:rPr>
                          <w:b/>
                        </w:rPr>
                      </w:pPr>
                      <w:r w:rsidRPr="00BF0B52">
                        <w:t>Interest rate for wholesale loan is 3% per month</w:t>
                      </w:r>
                      <w:r>
                        <w:t xml:space="preserve"> (2.5% from 1</w:t>
                      </w:r>
                      <w:r w:rsidRPr="009D7DD2">
                        <w:rPr>
                          <w:vertAlign w:val="superscript"/>
                        </w:rPr>
                        <w:t>st</w:t>
                      </w:r>
                      <w:r>
                        <w:t xml:space="preserve"> April 2012).</w:t>
                      </w:r>
                    </w:p>
                    <w:p w:rsidR="007A437E" w:rsidRDefault="007A437E" w:rsidP="00B62B4D">
                      <w:pPr>
                        <w:pStyle w:val="ListParagraph"/>
                        <w:numPr>
                          <w:ilvl w:val="0"/>
                          <w:numId w:val="8"/>
                        </w:numPr>
                        <w:tabs>
                          <w:tab w:val="left" w:pos="360"/>
                        </w:tabs>
                        <w:spacing w:after="0" w:line="240" w:lineRule="auto"/>
                        <w:ind w:left="397" w:hanging="397"/>
                        <w:jc w:val="both"/>
                        <w:rPr>
                          <w:b/>
                        </w:rPr>
                      </w:pPr>
                      <w:r w:rsidRPr="00BF0B52">
                        <w:t>MFP will pay 20% interest on the SRG savings/common fund deposited with the project</w:t>
                      </w:r>
                      <w:r>
                        <w:t xml:space="preserve"> (15% from 1</w:t>
                      </w:r>
                      <w:r w:rsidRPr="009D7DD2">
                        <w:rPr>
                          <w:vertAlign w:val="superscript"/>
                        </w:rPr>
                        <w:t>st</w:t>
                      </w:r>
                      <w:r>
                        <w:t xml:space="preserve"> Apr 2012).</w:t>
                      </w:r>
                    </w:p>
                    <w:p w:rsidR="007A437E" w:rsidRDefault="007A437E" w:rsidP="00B62B4D">
                      <w:pPr>
                        <w:tabs>
                          <w:tab w:val="left" w:pos="360"/>
                        </w:tabs>
                        <w:spacing w:after="0" w:line="240" w:lineRule="auto"/>
                        <w:jc w:val="both"/>
                        <w:rPr>
                          <w:b/>
                        </w:rPr>
                      </w:pPr>
                    </w:p>
                    <w:p w:rsidR="007A437E" w:rsidRDefault="007A437E" w:rsidP="00B62B4D">
                      <w:pPr>
                        <w:tabs>
                          <w:tab w:val="left" w:pos="360"/>
                        </w:tabs>
                        <w:spacing w:after="0" w:line="240" w:lineRule="auto"/>
                        <w:jc w:val="both"/>
                        <w:rPr>
                          <w:b/>
                        </w:rPr>
                      </w:pPr>
                      <w:r w:rsidRPr="00BF0B52">
                        <w:rPr>
                          <w:b/>
                        </w:rPr>
                        <w:t>Repayment</w:t>
                      </w:r>
                    </w:p>
                    <w:p w:rsidR="007A437E" w:rsidRDefault="007A437E" w:rsidP="00B62B4D">
                      <w:pPr>
                        <w:pStyle w:val="ListParagraph"/>
                        <w:numPr>
                          <w:ilvl w:val="0"/>
                          <w:numId w:val="9"/>
                        </w:numPr>
                        <w:tabs>
                          <w:tab w:val="left" w:pos="360"/>
                        </w:tabs>
                        <w:spacing w:after="0" w:line="240" w:lineRule="auto"/>
                        <w:ind w:hanging="720"/>
                        <w:jc w:val="both"/>
                      </w:pPr>
                      <w:r>
                        <w:t>Bi-weekly/m</w:t>
                      </w:r>
                      <w:r w:rsidRPr="00BF0B52">
                        <w:t>onthly/</w:t>
                      </w:r>
                      <w:r>
                        <w:t>q</w:t>
                      </w:r>
                      <w:r w:rsidRPr="00BF0B52">
                        <w:t>uarterly</w:t>
                      </w:r>
                      <w:r>
                        <w:t xml:space="preserve">/biannual </w:t>
                      </w:r>
                      <w:r w:rsidRPr="00BF0B52">
                        <w:t>repayment</w:t>
                      </w:r>
                      <w:r>
                        <w:t>s</w:t>
                      </w:r>
                      <w:r w:rsidRPr="00BF0B52">
                        <w:t xml:space="preserve"> of interest and principal as agreed.</w:t>
                      </w:r>
                    </w:p>
                    <w:p w:rsidR="007A437E" w:rsidRDefault="007A437E" w:rsidP="00B62B4D">
                      <w:pPr>
                        <w:pStyle w:val="ListParagraph"/>
                        <w:numPr>
                          <w:ilvl w:val="0"/>
                          <w:numId w:val="9"/>
                        </w:numPr>
                        <w:tabs>
                          <w:tab w:val="left" w:pos="360"/>
                        </w:tabs>
                        <w:spacing w:after="0" w:line="240" w:lineRule="auto"/>
                        <w:ind w:left="360"/>
                        <w:jc w:val="both"/>
                      </w:pPr>
                      <w:r w:rsidRPr="00BF0B52">
                        <w:t xml:space="preserve">Settling of the whole outstanding amount before due date will be accepted along with the </w:t>
                      </w:r>
                      <w:r>
                        <w:t xml:space="preserve">due </w:t>
                      </w:r>
                      <w:r w:rsidRPr="00BF0B52">
                        <w:t>interest</w:t>
                      </w:r>
                      <w:r>
                        <w:t>.</w:t>
                      </w:r>
                      <w:r w:rsidRPr="00BF0B52">
                        <w:t xml:space="preserve"> </w:t>
                      </w:r>
                    </w:p>
                    <w:p w:rsidR="007A437E" w:rsidRDefault="007A437E" w:rsidP="00B62B4D">
                      <w:pPr>
                        <w:pStyle w:val="ListParagraph"/>
                        <w:tabs>
                          <w:tab w:val="left" w:pos="360"/>
                        </w:tabs>
                        <w:spacing w:after="0" w:line="240" w:lineRule="auto"/>
                        <w:ind w:left="360"/>
                        <w:jc w:val="both"/>
                      </w:pPr>
                    </w:p>
                    <w:p w:rsidR="007A437E" w:rsidRDefault="007A437E" w:rsidP="00B62B4D">
                      <w:pPr>
                        <w:spacing w:after="0" w:line="240" w:lineRule="auto"/>
                        <w:jc w:val="both"/>
                        <w:rPr>
                          <w:b/>
                        </w:rPr>
                      </w:pPr>
                      <w:r w:rsidRPr="00BF0B52">
                        <w:rPr>
                          <w:b/>
                        </w:rPr>
                        <w:t>Subsequent loans</w:t>
                      </w:r>
                    </w:p>
                    <w:p w:rsidR="007A437E" w:rsidRDefault="007A437E" w:rsidP="00B62B4D">
                      <w:pPr>
                        <w:pStyle w:val="ListParagraph"/>
                        <w:numPr>
                          <w:ilvl w:val="0"/>
                          <w:numId w:val="10"/>
                        </w:numPr>
                        <w:tabs>
                          <w:tab w:val="left" w:pos="360"/>
                        </w:tabs>
                        <w:spacing w:after="0" w:line="240" w:lineRule="auto"/>
                        <w:ind w:left="360"/>
                        <w:jc w:val="both"/>
                      </w:pPr>
                      <w:r w:rsidRPr="00BF0B52">
                        <w:t xml:space="preserve">After successful repayment of the current loan, </w:t>
                      </w:r>
                      <w:r>
                        <w:t xml:space="preserve">application for the </w:t>
                      </w:r>
                      <w:r w:rsidRPr="00BF0B52">
                        <w:t xml:space="preserve">next loan can be </w:t>
                      </w:r>
                      <w:r>
                        <w:t>made</w:t>
                      </w:r>
                      <w:r w:rsidRPr="00BF0B52">
                        <w:t>. Usually new loan app</w:t>
                      </w: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
                    <w:p w:rsidR="007A437E" w:rsidRDefault="007A437E" w:rsidP="00B62B4D">
                      <w:pPr>
                        <w:pStyle w:val="ListParagraph"/>
                        <w:numPr>
                          <w:ilvl w:val="0"/>
                          <w:numId w:val="10"/>
                        </w:numPr>
                        <w:tabs>
                          <w:tab w:val="left" w:pos="360"/>
                        </w:tabs>
                        <w:spacing w:after="0" w:line="240" w:lineRule="auto"/>
                        <w:ind w:left="360"/>
                        <w:jc w:val="both"/>
                      </w:pPr>
                      <w:proofErr w:type="spellStart"/>
                      <w:proofErr w:type="gramStart"/>
                      <w:r w:rsidRPr="00BF0B52">
                        <w:t>lications</w:t>
                      </w:r>
                      <w:proofErr w:type="spellEnd"/>
                      <w:proofErr w:type="gramEnd"/>
                      <w:r w:rsidRPr="00BF0B52">
                        <w:t xml:space="preserve"> are processed during the last repayment installment period of the previous loan</w:t>
                      </w:r>
                      <w:r>
                        <w:t>.</w:t>
                      </w:r>
                    </w:p>
                    <w:p w:rsidR="007A437E" w:rsidRDefault="007A437E" w:rsidP="00B62B4D">
                      <w:pPr>
                        <w:tabs>
                          <w:tab w:val="left" w:pos="360"/>
                        </w:tabs>
                        <w:spacing w:after="60" w:line="240" w:lineRule="auto"/>
                      </w:pPr>
                    </w:p>
                  </w:txbxContent>
                </v:textbox>
              </v:shape>
            </w:pict>
          </mc:Fallback>
        </mc:AlternateContent>
      </w:r>
      <w:proofErr w:type="gramStart"/>
      <w:r w:rsidR="00F910A0">
        <w:rPr>
          <w:sz w:val="20"/>
          <w:szCs w:val="20"/>
        </w:rPr>
        <w:t>A</w:t>
      </w:r>
      <w:r w:rsidR="00D30CDE" w:rsidRPr="00B33DF1">
        <w:rPr>
          <w:sz w:val="20"/>
          <w:szCs w:val="20"/>
        </w:rPr>
        <w:t>NNEX  A</w:t>
      </w:r>
      <w:proofErr w:type="gramEnd"/>
      <w:r w:rsidR="00D30CDE" w:rsidRPr="00B33DF1">
        <w:rPr>
          <w:sz w:val="20"/>
          <w:szCs w:val="20"/>
        </w:rPr>
        <w:t xml:space="preserve">: </w:t>
      </w:r>
      <w:r w:rsidR="00D30CDE" w:rsidRPr="00B33DF1">
        <w:rPr>
          <w:sz w:val="20"/>
          <w:szCs w:val="20"/>
        </w:rPr>
        <w:tab/>
        <w:t>Description of Wholesale loan products from MF</w:t>
      </w:r>
      <w:r w:rsidR="00B453DB" w:rsidRPr="00B33DF1">
        <w:rPr>
          <w:sz w:val="20"/>
          <w:szCs w:val="20"/>
        </w:rPr>
        <w:t>P</w:t>
      </w:r>
      <w:r w:rsidR="00D30CDE" w:rsidRPr="00B33DF1">
        <w:rPr>
          <w:sz w:val="20"/>
          <w:szCs w:val="20"/>
        </w:rPr>
        <w:t xml:space="preserve"> for SRGs/CBOs</w:t>
      </w: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B62B4D" w:rsidRPr="00FA7A76" w:rsidRDefault="00B62B4D" w:rsidP="00D30CDE">
      <w:pPr>
        <w:tabs>
          <w:tab w:val="left" w:pos="1348"/>
        </w:tabs>
        <w:spacing w:after="120" w:line="240" w:lineRule="auto"/>
        <w:jc w:val="both"/>
        <w:rPr>
          <w:color w:val="FF0000"/>
          <w:sz w:val="20"/>
          <w:szCs w:val="20"/>
        </w:rPr>
      </w:pPr>
    </w:p>
    <w:p w:rsidR="00A17EFA" w:rsidRDefault="00A17EFA" w:rsidP="00A17EFA">
      <w:pPr>
        <w:spacing w:after="120" w:line="240" w:lineRule="auto"/>
        <w:jc w:val="both"/>
        <w:rPr>
          <w:b/>
          <w:sz w:val="24"/>
          <w:szCs w:val="24"/>
          <w:u w:val="single"/>
        </w:rPr>
      </w:pPr>
      <w:r w:rsidRPr="00B33DF1">
        <w:rPr>
          <w:b/>
          <w:sz w:val="24"/>
          <w:szCs w:val="24"/>
          <w:u w:val="single"/>
        </w:rPr>
        <w:lastRenderedPageBreak/>
        <w:t>TABLES:</w:t>
      </w:r>
    </w:p>
    <w:p w:rsidR="00F910A0" w:rsidRPr="00B33DF1" w:rsidRDefault="00F910A0" w:rsidP="00A17EFA">
      <w:pPr>
        <w:spacing w:after="120" w:line="240" w:lineRule="auto"/>
        <w:jc w:val="both"/>
        <w:rPr>
          <w:b/>
          <w:sz w:val="24"/>
          <w:szCs w:val="24"/>
          <w:u w:val="single"/>
        </w:rPr>
      </w:pPr>
    </w:p>
    <w:p w:rsidR="00A17EFA" w:rsidRPr="00B33DF1" w:rsidRDefault="00D679D8" w:rsidP="00A17EFA">
      <w:pPr>
        <w:spacing w:after="120" w:line="240" w:lineRule="auto"/>
        <w:jc w:val="both"/>
        <w:rPr>
          <w:b/>
        </w:rPr>
      </w:pPr>
      <w:r w:rsidRPr="00B33DF1">
        <w:rPr>
          <w:b/>
        </w:rPr>
        <w:t>Table (1</w:t>
      </w:r>
      <w:r w:rsidR="00A17EFA" w:rsidRPr="00B33DF1">
        <w:rPr>
          <w:b/>
        </w:rPr>
        <w:t xml:space="preserve">) Delta Region SRGs Capacity Assessment Status during </w:t>
      </w:r>
      <w:r w:rsidR="00B33DF1">
        <w:rPr>
          <w:b/>
        </w:rPr>
        <w:t>July-Sep</w:t>
      </w:r>
      <w:r w:rsidRPr="00FA7A76">
        <w:rPr>
          <w:b/>
          <w:color w:val="FF0000"/>
        </w:rPr>
        <w:t xml:space="preserve"> </w:t>
      </w:r>
      <w:r w:rsidRPr="00B33DF1">
        <w:rPr>
          <w:b/>
        </w:rPr>
        <w:t>2013</w:t>
      </w:r>
    </w:p>
    <w:tbl>
      <w:tblPr>
        <w:tblStyle w:val="LightGrid-Accent1"/>
        <w:tblW w:w="9018" w:type="dxa"/>
        <w:tblLayout w:type="fixed"/>
        <w:tblLook w:val="04A0" w:firstRow="1" w:lastRow="0" w:firstColumn="1" w:lastColumn="0" w:noHBand="0" w:noVBand="1"/>
      </w:tblPr>
      <w:tblGrid>
        <w:gridCol w:w="558"/>
        <w:gridCol w:w="1350"/>
        <w:gridCol w:w="1170"/>
        <w:gridCol w:w="1170"/>
        <w:gridCol w:w="1260"/>
        <w:gridCol w:w="1260"/>
        <w:gridCol w:w="1284"/>
        <w:gridCol w:w="966"/>
      </w:tblGrid>
      <w:tr w:rsidR="00B33DF1" w:rsidRPr="00FA7A76" w:rsidTr="00F910A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DAEEF3" w:themeFill="accent5" w:themeFillTint="33"/>
          </w:tcPr>
          <w:p w:rsidR="00B33DF1" w:rsidRPr="00B33DF1" w:rsidRDefault="00B33DF1" w:rsidP="00807774">
            <w:pPr>
              <w:pStyle w:val="ListParagraph"/>
              <w:ind w:left="0"/>
              <w:contextualSpacing w:val="0"/>
              <w:jc w:val="center"/>
            </w:pPr>
            <w:r w:rsidRPr="00B33DF1">
              <w:t xml:space="preserve">Sr. </w:t>
            </w:r>
          </w:p>
        </w:tc>
        <w:tc>
          <w:tcPr>
            <w:tcW w:w="1350" w:type="dxa"/>
            <w:vMerge w:val="restart"/>
            <w:shd w:val="clear" w:color="auto" w:fill="DAEEF3" w:themeFill="accent5" w:themeFillTint="33"/>
          </w:tcPr>
          <w:p w:rsidR="00B33DF1" w:rsidRPr="00B33DF1" w:rsidRDefault="00B33DF1" w:rsidP="00807774">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rsidRPr="00B33DF1">
              <w:t>Township</w:t>
            </w:r>
          </w:p>
        </w:tc>
        <w:tc>
          <w:tcPr>
            <w:tcW w:w="1170" w:type="dxa"/>
            <w:vMerge w:val="restart"/>
            <w:shd w:val="clear" w:color="auto" w:fill="DAEEF3" w:themeFill="accent5" w:themeFillTint="33"/>
          </w:tcPr>
          <w:p w:rsidR="00B33DF1" w:rsidRPr="00B33DF1" w:rsidRDefault="00B33DF1" w:rsidP="00807774">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rsidRPr="00B33DF1">
              <w:t xml:space="preserve">Number of Existing SRGs </w:t>
            </w:r>
          </w:p>
        </w:tc>
        <w:tc>
          <w:tcPr>
            <w:tcW w:w="1170" w:type="dxa"/>
            <w:vMerge w:val="restart"/>
            <w:shd w:val="clear" w:color="auto" w:fill="DAEEF3" w:themeFill="accent5" w:themeFillTint="33"/>
          </w:tcPr>
          <w:p w:rsidR="00B33DF1" w:rsidRPr="00B33DF1" w:rsidRDefault="00B33DF1" w:rsidP="00807774">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rsidRPr="00B33DF1">
              <w:t>Targeted SRGs for Year-I &amp; II</w:t>
            </w:r>
          </w:p>
        </w:tc>
        <w:tc>
          <w:tcPr>
            <w:tcW w:w="1260" w:type="dxa"/>
            <w:vMerge w:val="restart"/>
            <w:shd w:val="clear" w:color="auto" w:fill="DAEEF3" w:themeFill="accent5" w:themeFillTint="33"/>
          </w:tcPr>
          <w:p w:rsidR="00B33DF1" w:rsidRPr="00B33DF1" w:rsidRDefault="00B33DF1" w:rsidP="00807774">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rsidRPr="00B33DF1">
              <w:t>No of SRGs Assessed</w:t>
            </w:r>
          </w:p>
        </w:tc>
        <w:tc>
          <w:tcPr>
            <w:tcW w:w="3510" w:type="dxa"/>
            <w:gridSpan w:val="3"/>
            <w:shd w:val="clear" w:color="auto" w:fill="DAEEF3" w:themeFill="accent5" w:themeFillTint="33"/>
          </w:tcPr>
          <w:p w:rsidR="00B33DF1" w:rsidRPr="00B33DF1" w:rsidRDefault="00B33DF1" w:rsidP="00807774">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rsidRPr="00B33DF1">
              <w:t xml:space="preserve"> Status </w:t>
            </w:r>
          </w:p>
        </w:tc>
      </w:tr>
      <w:tr w:rsidR="00B33DF1" w:rsidRPr="00FA7A76" w:rsidTr="00F910A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DAEEF3" w:themeFill="accent5" w:themeFillTint="33"/>
          </w:tcPr>
          <w:p w:rsidR="00B33DF1" w:rsidRPr="00FA7A76" w:rsidRDefault="00B33DF1" w:rsidP="00807774">
            <w:pPr>
              <w:pStyle w:val="ListParagraph"/>
              <w:ind w:left="0"/>
              <w:contextualSpacing w:val="0"/>
              <w:jc w:val="center"/>
              <w:rPr>
                <w:color w:val="FF0000"/>
              </w:rPr>
            </w:pPr>
          </w:p>
        </w:tc>
        <w:tc>
          <w:tcPr>
            <w:tcW w:w="1350" w:type="dxa"/>
            <w:vMerge/>
            <w:shd w:val="clear" w:color="auto" w:fill="DAEEF3" w:themeFill="accent5" w:themeFillTint="33"/>
          </w:tcPr>
          <w:p w:rsidR="00B33DF1" w:rsidRPr="00FA7A76"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FF0000"/>
              </w:rPr>
            </w:pPr>
          </w:p>
        </w:tc>
        <w:tc>
          <w:tcPr>
            <w:tcW w:w="1170" w:type="dxa"/>
            <w:vMerge/>
            <w:shd w:val="clear" w:color="auto" w:fill="DAEEF3" w:themeFill="accent5" w:themeFillTint="33"/>
          </w:tcPr>
          <w:p w:rsidR="00B33DF1" w:rsidRPr="00FA7A76"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FF0000"/>
              </w:rPr>
            </w:pPr>
          </w:p>
        </w:tc>
        <w:tc>
          <w:tcPr>
            <w:tcW w:w="1170" w:type="dxa"/>
            <w:vMerge/>
            <w:shd w:val="clear" w:color="auto" w:fill="DAEEF3" w:themeFill="accent5" w:themeFillTint="33"/>
          </w:tcPr>
          <w:p w:rsidR="00B33DF1" w:rsidRPr="00FA7A76"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FF0000"/>
              </w:rPr>
            </w:pPr>
          </w:p>
        </w:tc>
        <w:tc>
          <w:tcPr>
            <w:tcW w:w="1260" w:type="dxa"/>
            <w:vMerge/>
            <w:shd w:val="clear" w:color="auto" w:fill="DAEEF3" w:themeFill="accent5" w:themeFillTint="33"/>
          </w:tcPr>
          <w:p w:rsidR="00B33DF1" w:rsidRPr="00FA7A76"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FF0000"/>
              </w:rPr>
            </w:pPr>
          </w:p>
        </w:tc>
        <w:tc>
          <w:tcPr>
            <w:tcW w:w="1260" w:type="dxa"/>
            <w:shd w:val="clear" w:color="auto" w:fill="DAEEF3" w:themeFill="accent5" w:themeFillTint="33"/>
          </w:tcPr>
          <w:p w:rsidR="00B33DF1" w:rsidRPr="00F910A0"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color w:val="FF0000"/>
              </w:rPr>
            </w:pPr>
            <w:r w:rsidRPr="00F910A0">
              <w:t>Self-reliant</w:t>
            </w:r>
          </w:p>
        </w:tc>
        <w:tc>
          <w:tcPr>
            <w:tcW w:w="1284" w:type="dxa"/>
            <w:shd w:val="clear" w:color="auto" w:fill="DAEEF3" w:themeFill="accent5" w:themeFillTint="33"/>
          </w:tcPr>
          <w:p w:rsidR="00B33DF1" w:rsidRPr="00F910A0"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F910A0">
              <w:t>Functioning</w:t>
            </w:r>
          </w:p>
        </w:tc>
        <w:tc>
          <w:tcPr>
            <w:tcW w:w="966" w:type="dxa"/>
            <w:shd w:val="clear" w:color="auto" w:fill="DAEEF3" w:themeFill="accent5" w:themeFillTint="33"/>
          </w:tcPr>
          <w:p w:rsidR="00B33DF1" w:rsidRPr="00F910A0" w:rsidRDefault="00B33DF1" w:rsidP="00807774">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F910A0">
              <w:t>Weak</w:t>
            </w:r>
          </w:p>
        </w:tc>
      </w:tr>
      <w:tr w:rsidR="00B33DF1" w:rsidRPr="00F910A0" w:rsidTr="00B33DF1">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58" w:type="dxa"/>
          </w:tcPr>
          <w:p w:rsidR="00B33DF1" w:rsidRPr="00F910A0" w:rsidRDefault="00B33DF1" w:rsidP="00807774">
            <w:pPr>
              <w:pStyle w:val="ListParagraph"/>
              <w:ind w:left="0"/>
              <w:contextualSpacing w:val="0"/>
              <w:jc w:val="both"/>
              <w:rPr>
                <w:b w:val="0"/>
                <w:sz w:val="20"/>
                <w:szCs w:val="20"/>
              </w:rPr>
            </w:pPr>
            <w:r w:rsidRPr="00F910A0">
              <w:rPr>
                <w:b w:val="0"/>
                <w:sz w:val="20"/>
                <w:szCs w:val="20"/>
              </w:rPr>
              <w:t>1</w:t>
            </w:r>
          </w:p>
        </w:tc>
        <w:tc>
          <w:tcPr>
            <w:tcW w:w="1350" w:type="dxa"/>
          </w:tcPr>
          <w:p w:rsidR="00B33DF1" w:rsidRPr="00F910A0" w:rsidRDefault="00B33DF1" w:rsidP="00807774">
            <w:pPr>
              <w:pStyle w:val="ListParagraph"/>
              <w:ind w:left="0"/>
              <w:contextualSpacing w:val="0"/>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F910A0">
              <w:rPr>
                <w:sz w:val="20"/>
                <w:szCs w:val="20"/>
              </w:rPr>
              <w:t>Bogalay</w:t>
            </w:r>
            <w:proofErr w:type="spellEnd"/>
          </w:p>
        </w:tc>
        <w:tc>
          <w:tcPr>
            <w:tcW w:w="1170" w:type="dxa"/>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407</w:t>
            </w:r>
          </w:p>
        </w:tc>
        <w:tc>
          <w:tcPr>
            <w:tcW w:w="1170" w:type="dxa"/>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185</w:t>
            </w:r>
          </w:p>
        </w:tc>
        <w:tc>
          <w:tcPr>
            <w:tcW w:w="1260" w:type="dxa"/>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8</w:t>
            </w:r>
          </w:p>
        </w:tc>
        <w:tc>
          <w:tcPr>
            <w:tcW w:w="1260" w:type="dxa"/>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284" w:type="dxa"/>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7</w:t>
            </w:r>
          </w:p>
        </w:tc>
        <w:tc>
          <w:tcPr>
            <w:tcW w:w="966" w:type="dxa"/>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1</w:t>
            </w:r>
          </w:p>
        </w:tc>
      </w:tr>
      <w:tr w:rsidR="00B33DF1" w:rsidRPr="00F910A0" w:rsidTr="00F910A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B33DF1" w:rsidRPr="00F910A0" w:rsidRDefault="00B33DF1" w:rsidP="00807774">
            <w:pPr>
              <w:pStyle w:val="ListParagraph"/>
              <w:ind w:left="0"/>
              <w:contextualSpacing w:val="0"/>
              <w:jc w:val="both"/>
              <w:rPr>
                <w:b w:val="0"/>
                <w:sz w:val="20"/>
                <w:szCs w:val="20"/>
              </w:rPr>
            </w:pPr>
            <w:r w:rsidRPr="00F910A0">
              <w:rPr>
                <w:b w:val="0"/>
                <w:sz w:val="20"/>
                <w:szCs w:val="20"/>
              </w:rPr>
              <w:t>2</w:t>
            </w:r>
          </w:p>
        </w:tc>
        <w:tc>
          <w:tcPr>
            <w:tcW w:w="1350" w:type="dxa"/>
            <w:shd w:val="clear" w:color="auto" w:fill="auto"/>
          </w:tcPr>
          <w:p w:rsidR="00B33DF1" w:rsidRPr="00F910A0" w:rsidRDefault="00B33DF1" w:rsidP="00807774">
            <w:pPr>
              <w:pStyle w:val="ListParagraph"/>
              <w:ind w:left="0"/>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F910A0">
              <w:rPr>
                <w:sz w:val="20"/>
                <w:szCs w:val="20"/>
              </w:rPr>
              <w:t>Mawgyun</w:t>
            </w:r>
            <w:proofErr w:type="spellEnd"/>
          </w:p>
        </w:tc>
        <w:tc>
          <w:tcPr>
            <w:tcW w:w="117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301</w:t>
            </w:r>
          </w:p>
        </w:tc>
        <w:tc>
          <w:tcPr>
            <w:tcW w:w="117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144</w:t>
            </w:r>
          </w:p>
        </w:tc>
        <w:tc>
          <w:tcPr>
            <w:tcW w:w="126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4</w:t>
            </w:r>
          </w:p>
        </w:tc>
        <w:tc>
          <w:tcPr>
            <w:tcW w:w="126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284"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3</w:t>
            </w:r>
          </w:p>
        </w:tc>
        <w:tc>
          <w:tcPr>
            <w:tcW w:w="966"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1</w:t>
            </w:r>
          </w:p>
        </w:tc>
      </w:tr>
      <w:tr w:rsidR="00B33DF1" w:rsidRPr="00F910A0" w:rsidTr="00F910A0">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B33DF1" w:rsidRPr="00F910A0" w:rsidRDefault="00B33DF1" w:rsidP="00807774">
            <w:pPr>
              <w:pStyle w:val="ListParagraph"/>
              <w:ind w:left="0"/>
              <w:contextualSpacing w:val="0"/>
              <w:jc w:val="both"/>
              <w:rPr>
                <w:b w:val="0"/>
                <w:sz w:val="20"/>
                <w:szCs w:val="20"/>
              </w:rPr>
            </w:pPr>
            <w:r w:rsidRPr="00F910A0">
              <w:rPr>
                <w:b w:val="0"/>
                <w:sz w:val="20"/>
                <w:szCs w:val="20"/>
              </w:rPr>
              <w:t>3</w:t>
            </w:r>
          </w:p>
        </w:tc>
        <w:tc>
          <w:tcPr>
            <w:tcW w:w="1350" w:type="dxa"/>
            <w:shd w:val="clear" w:color="auto" w:fill="auto"/>
          </w:tcPr>
          <w:p w:rsidR="00B33DF1" w:rsidRPr="00F910A0" w:rsidRDefault="00B33DF1" w:rsidP="00807774">
            <w:pPr>
              <w:pStyle w:val="ListParagraph"/>
              <w:ind w:left="0"/>
              <w:contextualSpacing w:val="0"/>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F910A0">
              <w:rPr>
                <w:sz w:val="20"/>
                <w:szCs w:val="20"/>
              </w:rPr>
              <w:t>Laputta</w:t>
            </w:r>
            <w:proofErr w:type="spellEnd"/>
          </w:p>
        </w:tc>
        <w:tc>
          <w:tcPr>
            <w:tcW w:w="1170" w:type="dxa"/>
            <w:shd w:val="clear" w:color="auto" w:fill="auto"/>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354</w:t>
            </w:r>
          </w:p>
        </w:tc>
        <w:tc>
          <w:tcPr>
            <w:tcW w:w="1170" w:type="dxa"/>
            <w:shd w:val="clear" w:color="auto" w:fill="auto"/>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171</w:t>
            </w:r>
          </w:p>
        </w:tc>
        <w:tc>
          <w:tcPr>
            <w:tcW w:w="1260" w:type="dxa"/>
            <w:shd w:val="clear" w:color="auto" w:fill="auto"/>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6</w:t>
            </w:r>
          </w:p>
        </w:tc>
        <w:tc>
          <w:tcPr>
            <w:tcW w:w="1260" w:type="dxa"/>
            <w:shd w:val="clear" w:color="auto" w:fill="auto"/>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color w:val="FF0000"/>
                <w:sz w:val="20"/>
                <w:szCs w:val="20"/>
              </w:rPr>
            </w:pPr>
          </w:p>
        </w:tc>
        <w:tc>
          <w:tcPr>
            <w:tcW w:w="1284" w:type="dxa"/>
            <w:shd w:val="clear" w:color="auto" w:fill="auto"/>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5</w:t>
            </w:r>
          </w:p>
        </w:tc>
        <w:tc>
          <w:tcPr>
            <w:tcW w:w="966" w:type="dxa"/>
            <w:shd w:val="clear" w:color="auto" w:fill="auto"/>
          </w:tcPr>
          <w:p w:rsidR="00B33DF1" w:rsidRPr="00F910A0" w:rsidRDefault="00B33DF1" w:rsidP="004C0861">
            <w:pPr>
              <w:pStyle w:val="ListParagraph"/>
              <w:ind w:left="0"/>
              <w:contextualSpacing w:val="0"/>
              <w:jc w:val="right"/>
              <w:cnfStyle w:val="000000010000" w:firstRow="0" w:lastRow="0" w:firstColumn="0" w:lastColumn="0" w:oddVBand="0" w:evenVBand="0" w:oddHBand="0" w:evenHBand="1" w:firstRowFirstColumn="0" w:firstRowLastColumn="0" w:lastRowFirstColumn="0" w:lastRowLastColumn="0"/>
              <w:rPr>
                <w:sz w:val="20"/>
                <w:szCs w:val="20"/>
              </w:rPr>
            </w:pPr>
            <w:r w:rsidRPr="00F910A0">
              <w:rPr>
                <w:sz w:val="20"/>
                <w:szCs w:val="20"/>
              </w:rPr>
              <w:t>1</w:t>
            </w:r>
          </w:p>
        </w:tc>
      </w:tr>
      <w:tr w:rsidR="00B33DF1" w:rsidRPr="00F910A0" w:rsidTr="00F910A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908" w:type="dxa"/>
            <w:gridSpan w:val="2"/>
            <w:shd w:val="clear" w:color="auto" w:fill="auto"/>
          </w:tcPr>
          <w:p w:rsidR="00B33DF1" w:rsidRPr="00F910A0" w:rsidRDefault="00B33DF1" w:rsidP="00807774">
            <w:pPr>
              <w:jc w:val="center"/>
              <w:rPr>
                <w:b w:val="0"/>
                <w:color w:val="FF0000"/>
                <w:sz w:val="20"/>
                <w:szCs w:val="20"/>
              </w:rPr>
            </w:pPr>
            <w:r w:rsidRPr="00F910A0">
              <w:rPr>
                <w:b w:val="0"/>
                <w:sz w:val="20"/>
                <w:szCs w:val="20"/>
              </w:rPr>
              <w:t>Total</w:t>
            </w:r>
          </w:p>
        </w:tc>
        <w:tc>
          <w:tcPr>
            <w:tcW w:w="117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color w:val="FF0000"/>
                <w:sz w:val="20"/>
                <w:szCs w:val="20"/>
              </w:rPr>
            </w:pPr>
            <w:r w:rsidRPr="00F910A0">
              <w:rPr>
                <w:sz w:val="20"/>
                <w:szCs w:val="20"/>
              </w:rPr>
              <w:t>1,062</w:t>
            </w:r>
          </w:p>
        </w:tc>
        <w:tc>
          <w:tcPr>
            <w:tcW w:w="117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500</w:t>
            </w:r>
          </w:p>
        </w:tc>
        <w:tc>
          <w:tcPr>
            <w:tcW w:w="126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18</w:t>
            </w:r>
          </w:p>
        </w:tc>
        <w:tc>
          <w:tcPr>
            <w:tcW w:w="1260"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284"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color w:val="FF0000"/>
                <w:sz w:val="20"/>
                <w:szCs w:val="20"/>
              </w:rPr>
            </w:pPr>
            <w:r w:rsidRPr="00F910A0">
              <w:rPr>
                <w:sz w:val="20"/>
                <w:szCs w:val="20"/>
              </w:rPr>
              <w:t>15</w:t>
            </w:r>
          </w:p>
        </w:tc>
        <w:tc>
          <w:tcPr>
            <w:tcW w:w="966" w:type="dxa"/>
            <w:shd w:val="clear" w:color="auto" w:fill="auto"/>
          </w:tcPr>
          <w:p w:rsidR="00B33DF1" w:rsidRPr="00F910A0" w:rsidRDefault="00B33DF1" w:rsidP="004C0861">
            <w:pPr>
              <w:pStyle w:val="ListParagraph"/>
              <w:ind w:left="0"/>
              <w:contextualSpacing w:val="0"/>
              <w:jc w:val="right"/>
              <w:cnfStyle w:val="000000100000" w:firstRow="0" w:lastRow="0" w:firstColumn="0" w:lastColumn="0" w:oddVBand="0" w:evenVBand="0" w:oddHBand="1" w:evenHBand="0" w:firstRowFirstColumn="0" w:firstRowLastColumn="0" w:lastRowFirstColumn="0" w:lastRowLastColumn="0"/>
              <w:rPr>
                <w:sz w:val="20"/>
                <w:szCs w:val="20"/>
              </w:rPr>
            </w:pPr>
            <w:r w:rsidRPr="00F910A0">
              <w:rPr>
                <w:sz w:val="20"/>
                <w:szCs w:val="20"/>
              </w:rPr>
              <w:t>3</w:t>
            </w:r>
          </w:p>
        </w:tc>
      </w:tr>
    </w:tbl>
    <w:p w:rsidR="00E2373C" w:rsidRDefault="00E2373C" w:rsidP="00A17EFA">
      <w:pPr>
        <w:spacing w:after="120" w:line="240" w:lineRule="auto"/>
        <w:rPr>
          <w:b/>
          <w:color w:val="FF0000"/>
        </w:rPr>
      </w:pPr>
    </w:p>
    <w:p w:rsidR="00A17EFA" w:rsidRPr="007176CE" w:rsidRDefault="00A17EFA" w:rsidP="00A17EFA">
      <w:pPr>
        <w:spacing w:after="120" w:line="240" w:lineRule="auto"/>
      </w:pPr>
      <w:r w:rsidRPr="007B57AD">
        <w:rPr>
          <w:b/>
        </w:rPr>
        <w:t>Table (</w:t>
      </w:r>
      <w:r w:rsidR="00D679D8" w:rsidRPr="007B57AD">
        <w:rPr>
          <w:b/>
        </w:rPr>
        <w:t>2</w:t>
      </w:r>
      <w:r w:rsidRPr="007B57AD">
        <w:rPr>
          <w:b/>
        </w:rPr>
        <w:t>) Capacity Building Trainings provi</w:t>
      </w:r>
      <w:r w:rsidR="00D679D8" w:rsidRPr="007B57AD">
        <w:rPr>
          <w:b/>
        </w:rPr>
        <w:t xml:space="preserve">ded during </w:t>
      </w:r>
      <w:r w:rsidR="007B57AD">
        <w:rPr>
          <w:b/>
        </w:rPr>
        <w:t>July-Sep</w:t>
      </w:r>
      <w:r w:rsidR="00E2373C" w:rsidRPr="00FA7A76">
        <w:rPr>
          <w:b/>
          <w:color w:val="FF0000"/>
        </w:rPr>
        <w:t xml:space="preserve"> </w:t>
      </w:r>
      <w:r w:rsidR="00D679D8" w:rsidRPr="007176CE">
        <w:rPr>
          <w:b/>
        </w:rPr>
        <w:t>2013</w:t>
      </w:r>
    </w:p>
    <w:tbl>
      <w:tblPr>
        <w:tblW w:w="91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908"/>
        <w:gridCol w:w="990"/>
        <w:gridCol w:w="630"/>
        <w:gridCol w:w="630"/>
        <w:gridCol w:w="990"/>
        <w:gridCol w:w="630"/>
        <w:gridCol w:w="810"/>
        <w:gridCol w:w="1980"/>
      </w:tblGrid>
      <w:tr w:rsidR="00FA7A76" w:rsidRPr="00FA7A76" w:rsidTr="00944CEE">
        <w:trPr>
          <w:trHeight w:val="405"/>
        </w:trPr>
        <w:tc>
          <w:tcPr>
            <w:tcW w:w="552" w:type="dxa"/>
            <w:vMerge w:val="restart"/>
            <w:shd w:val="clear" w:color="auto" w:fill="DAEEF3" w:themeFill="accent5" w:themeFillTint="33"/>
            <w:vAlign w:val="center"/>
            <w:hideMark/>
          </w:tcPr>
          <w:p w:rsidR="00E2373C" w:rsidRPr="007176CE" w:rsidRDefault="00E2373C" w:rsidP="00807774">
            <w:pPr>
              <w:autoSpaceDE w:val="0"/>
              <w:autoSpaceDN w:val="0"/>
              <w:adjustRightInd w:val="0"/>
              <w:spacing w:after="0" w:line="240" w:lineRule="auto"/>
              <w:jc w:val="center"/>
              <w:rPr>
                <w:rFonts w:cs="Zawgyi-One"/>
                <w:sz w:val="18"/>
                <w:szCs w:val="18"/>
              </w:rPr>
            </w:pPr>
            <w:bookmarkStart w:id="1" w:name="OLE_LINK1"/>
            <w:bookmarkStart w:id="2" w:name="OLE_LINK2"/>
            <w:r w:rsidRPr="007176CE">
              <w:rPr>
                <w:rFonts w:cs="Zawgyi-One"/>
                <w:sz w:val="18"/>
                <w:szCs w:val="18"/>
              </w:rPr>
              <w:t>Sr. No.</w:t>
            </w:r>
          </w:p>
        </w:tc>
        <w:tc>
          <w:tcPr>
            <w:tcW w:w="1908" w:type="dxa"/>
            <w:vMerge w:val="restart"/>
            <w:shd w:val="clear" w:color="auto" w:fill="DAEEF3" w:themeFill="accent5" w:themeFillTint="33"/>
            <w:vAlign w:val="center"/>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Types of Training / Workshop</w:t>
            </w:r>
          </w:p>
        </w:tc>
        <w:tc>
          <w:tcPr>
            <w:tcW w:w="990" w:type="dxa"/>
            <w:vMerge w:val="restart"/>
            <w:shd w:val="clear" w:color="auto" w:fill="DAEEF3" w:themeFill="accent5" w:themeFillTint="33"/>
            <w:vAlign w:val="center"/>
            <w:hideMark/>
          </w:tcPr>
          <w:p w:rsidR="00E2373C" w:rsidRPr="007176CE" w:rsidRDefault="00E2373C" w:rsidP="00807774">
            <w:pPr>
              <w:autoSpaceDE w:val="0"/>
              <w:autoSpaceDN w:val="0"/>
              <w:adjustRightInd w:val="0"/>
              <w:spacing w:after="0" w:line="240" w:lineRule="auto"/>
              <w:ind w:left="-108" w:right="-108"/>
              <w:jc w:val="center"/>
              <w:rPr>
                <w:rFonts w:cs="Zawgyi-One"/>
                <w:sz w:val="18"/>
                <w:szCs w:val="18"/>
              </w:rPr>
            </w:pPr>
            <w:r w:rsidRPr="007176CE">
              <w:rPr>
                <w:rFonts w:cs="Zawgyi-One"/>
                <w:sz w:val="18"/>
                <w:szCs w:val="18"/>
              </w:rPr>
              <w:t>Number of Training / Workshop Conducted</w:t>
            </w:r>
          </w:p>
        </w:tc>
        <w:tc>
          <w:tcPr>
            <w:tcW w:w="2880" w:type="dxa"/>
            <w:gridSpan w:val="4"/>
            <w:shd w:val="clear" w:color="auto" w:fill="DAEEF3" w:themeFill="accent5" w:themeFillTint="33"/>
            <w:vAlign w:val="center"/>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Number of participants</w:t>
            </w:r>
          </w:p>
        </w:tc>
        <w:tc>
          <w:tcPr>
            <w:tcW w:w="810" w:type="dxa"/>
            <w:vMerge w:val="restart"/>
            <w:shd w:val="clear" w:color="auto" w:fill="DAEEF3" w:themeFill="accent5" w:themeFillTint="33"/>
            <w:vAlign w:val="center"/>
            <w:hideMark/>
          </w:tcPr>
          <w:p w:rsidR="00E2373C" w:rsidRPr="007176CE" w:rsidRDefault="00E2373C" w:rsidP="00807774">
            <w:pPr>
              <w:autoSpaceDE w:val="0"/>
              <w:autoSpaceDN w:val="0"/>
              <w:adjustRightInd w:val="0"/>
              <w:spacing w:after="0" w:line="240" w:lineRule="auto"/>
              <w:ind w:left="-108" w:right="-108"/>
              <w:jc w:val="center"/>
              <w:rPr>
                <w:rFonts w:cs="Zawgyi-One"/>
                <w:sz w:val="18"/>
                <w:szCs w:val="18"/>
              </w:rPr>
            </w:pPr>
            <w:r w:rsidRPr="007176CE">
              <w:rPr>
                <w:rFonts w:cs="Zawgyi-One"/>
                <w:sz w:val="18"/>
                <w:szCs w:val="18"/>
              </w:rPr>
              <w:t>Training Duration (Days)</w:t>
            </w:r>
          </w:p>
        </w:tc>
        <w:tc>
          <w:tcPr>
            <w:tcW w:w="1980" w:type="dxa"/>
            <w:vMerge w:val="restart"/>
            <w:shd w:val="clear" w:color="auto" w:fill="DAEEF3" w:themeFill="accent5" w:themeFillTint="33"/>
            <w:vAlign w:val="center"/>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Venue (s)</w:t>
            </w:r>
          </w:p>
        </w:tc>
      </w:tr>
      <w:tr w:rsidR="00FA7A76" w:rsidRPr="00FA7A76" w:rsidTr="00944CEE">
        <w:trPr>
          <w:trHeight w:val="315"/>
        </w:trPr>
        <w:tc>
          <w:tcPr>
            <w:tcW w:w="552" w:type="dxa"/>
            <w:vMerge/>
            <w:vAlign w:val="center"/>
            <w:hideMark/>
          </w:tcPr>
          <w:p w:rsidR="00E2373C" w:rsidRPr="00FA7A76" w:rsidRDefault="00E2373C" w:rsidP="00807774">
            <w:pPr>
              <w:spacing w:after="0" w:line="240" w:lineRule="auto"/>
              <w:rPr>
                <w:rFonts w:cs="Zawgyi-One"/>
                <w:color w:val="FF0000"/>
                <w:sz w:val="18"/>
                <w:szCs w:val="18"/>
              </w:rPr>
            </w:pPr>
          </w:p>
        </w:tc>
        <w:tc>
          <w:tcPr>
            <w:tcW w:w="1908" w:type="dxa"/>
            <w:vMerge/>
            <w:vAlign w:val="center"/>
            <w:hideMark/>
          </w:tcPr>
          <w:p w:rsidR="00E2373C" w:rsidRPr="00FA7A76" w:rsidRDefault="00E2373C" w:rsidP="00807774">
            <w:pPr>
              <w:spacing w:after="0" w:line="240" w:lineRule="auto"/>
              <w:rPr>
                <w:rFonts w:cs="Zawgyi-One"/>
                <w:color w:val="FF0000"/>
                <w:sz w:val="18"/>
                <w:szCs w:val="18"/>
              </w:rPr>
            </w:pPr>
          </w:p>
        </w:tc>
        <w:tc>
          <w:tcPr>
            <w:tcW w:w="990" w:type="dxa"/>
            <w:vMerge/>
            <w:vAlign w:val="center"/>
            <w:hideMark/>
          </w:tcPr>
          <w:p w:rsidR="00E2373C" w:rsidRPr="00FA7A76" w:rsidRDefault="00E2373C" w:rsidP="00807774">
            <w:pPr>
              <w:spacing w:after="0" w:line="240" w:lineRule="auto"/>
              <w:rPr>
                <w:rFonts w:cs="Zawgyi-One"/>
                <w:color w:val="FF0000"/>
                <w:sz w:val="18"/>
                <w:szCs w:val="18"/>
              </w:rPr>
            </w:pPr>
          </w:p>
        </w:tc>
        <w:tc>
          <w:tcPr>
            <w:tcW w:w="630" w:type="dxa"/>
            <w:shd w:val="clear" w:color="auto" w:fill="DAEEF3" w:themeFill="accent5" w:themeFillTint="33"/>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MFP Staff</w:t>
            </w:r>
          </w:p>
        </w:tc>
        <w:tc>
          <w:tcPr>
            <w:tcW w:w="630" w:type="dxa"/>
            <w:shd w:val="clear" w:color="auto" w:fill="DAEEF3" w:themeFill="accent5" w:themeFillTint="33"/>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ICDP Staff</w:t>
            </w:r>
          </w:p>
        </w:tc>
        <w:tc>
          <w:tcPr>
            <w:tcW w:w="990" w:type="dxa"/>
            <w:shd w:val="clear" w:color="auto" w:fill="DAEEF3" w:themeFill="accent5" w:themeFillTint="33"/>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No. of SRG members</w:t>
            </w:r>
          </w:p>
        </w:tc>
        <w:tc>
          <w:tcPr>
            <w:tcW w:w="630" w:type="dxa"/>
            <w:shd w:val="clear" w:color="auto" w:fill="DAEEF3" w:themeFill="accent5" w:themeFillTint="33"/>
            <w:hideMark/>
          </w:tcPr>
          <w:p w:rsidR="00E2373C" w:rsidRPr="007176CE" w:rsidRDefault="00E2373C" w:rsidP="00807774">
            <w:pPr>
              <w:autoSpaceDE w:val="0"/>
              <w:autoSpaceDN w:val="0"/>
              <w:adjustRightInd w:val="0"/>
              <w:spacing w:after="0" w:line="240" w:lineRule="auto"/>
              <w:jc w:val="center"/>
              <w:rPr>
                <w:rFonts w:cs="Zawgyi-One"/>
                <w:sz w:val="18"/>
                <w:szCs w:val="18"/>
              </w:rPr>
            </w:pPr>
            <w:r w:rsidRPr="007176CE">
              <w:rPr>
                <w:rFonts w:cs="Zawgyi-One"/>
                <w:sz w:val="18"/>
                <w:szCs w:val="18"/>
              </w:rPr>
              <w:t>Total</w:t>
            </w:r>
          </w:p>
        </w:tc>
        <w:tc>
          <w:tcPr>
            <w:tcW w:w="810" w:type="dxa"/>
            <w:vMerge/>
            <w:vAlign w:val="center"/>
            <w:hideMark/>
          </w:tcPr>
          <w:p w:rsidR="00E2373C" w:rsidRPr="00FA7A76" w:rsidRDefault="00E2373C" w:rsidP="00807774">
            <w:pPr>
              <w:spacing w:after="0" w:line="240" w:lineRule="auto"/>
              <w:rPr>
                <w:rFonts w:cs="Zawgyi-One"/>
                <w:color w:val="FF0000"/>
                <w:sz w:val="18"/>
                <w:szCs w:val="18"/>
              </w:rPr>
            </w:pPr>
          </w:p>
        </w:tc>
        <w:tc>
          <w:tcPr>
            <w:tcW w:w="1980" w:type="dxa"/>
            <w:vMerge/>
            <w:vAlign w:val="center"/>
            <w:hideMark/>
          </w:tcPr>
          <w:p w:rsidR="00E2373C" w:rsidRPr="00FA7A76" w:rsidRDefault="00E2373C" w:rsidP="00807774">
            <w:pPr>
              <w:spacing w:after="0" w:line="240" w:lineRule="auto"/>
              <w:rPr>
                <w:rFonts w:cs="Zawgyi-One"/>
                <w:color w:val="FF0000"/>
                <w:sz w:val="18"/>
                <w:szCs w:val="18"/>
              </w:rPr>
            </w:pPr>
          </w:p>
        </w:tc>
      </w:tr>
      <w:tr w:rsidR="007176CE" w:rsidRPr="00FA7A76" w:rsidTr="00944CEE">
        <w:trPr>
          <w:trHeight w:val="459"/>
        </w:trPr>
        <w:tc>
          <w:tcPr>
            <w:tcW w:w="552" w:type="dxa"/>
            <w:hideMark/>
          </w:tcPr>
          <w:p w:rsidR="007176CE" w:rsidRPr="007176CE" w:rsidRDefault="007176CE" w:rsidP="00807774">
            <w:pPr>
              <w:autoSpaceDE w:val="0"/>
              <w:autoSpaceDN w:val="0"/>
              <w:adjustRightInd w:val="0"/>
              <w:spacing w:after="0" w:line="240" w:lineRule="auto"/>
              <w:jc w:val="center"/>
              <w:rPr>
                <w:rFonts w:cs="Zawgyi-One"/>
                <w:sz w:val="18"/>
                <w:szCs w:val="18"/>
              </w:rPr>
            </w:pPr>
            <w:r w:rsidRPr="007176CE">
              <w:rPr>
                <w:rFonts w:cs="Zawgyi-One"/>
                <w:sz w:val="18"/>
                <w:szCs w:val="18"/>
              </w:rPr>
              <w:t>1</w:t>
            </w:r>
          </w:p>
        </w:tc>
        <w:tc>
          <w:tcPr>
            <w:tcW w:w="1908" w:type="dxa"/>
            <w:hideMark/>
          </w:tcPr>
          <w:p w:rsidR="007176CE" w:rsidRPr="007176CE" w:rsidRDefault="007176CE" w:rsidP="00807774">
            <w:pPr>
              <w:autoSpaceDE w:val="0"/>
              <w:autoSpaceDN w:val="0"/>
              <w:adjustRightInd w:val="0"/>
              <w:spacing w:after="0" w:line="240" w:lineRule="auto"/>
              <w:rPr>
                <w:rFonts w:cs="Zawgyi-One"/>
                <w:sz w:val="18"/>
                <w:szCs w:val="18"/>
              </w:rPr>
            </w:pPr>
            <w:r w:rsidRPr="007176CE">
              <w:rPr>
                <w:rFonts w:cs="Zawgyi-One"/>
                <w:sz w:val="18"/>
                <w:szCs w:val="18"/>
              </w:rPr>
              <w:t xml:space="preserve">Orientation Meeting on SRG Linkage with MF </w:t>
            </w:r>
          </w:p>
        </w:tc>
        <w:tc>
          <w:tcPr>
            <w:tcW w:w="99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63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63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99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63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81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1980" w:type="dxa"/>
          </w:tcPr>
          <w:p w:rsidR="007176CE" w:rsidRPr="00660F29" w:rsidRDefault="007176CE" w:rsidP="004C0861">
            <w:pPr>
              <w:autoSpaceDE w:val="0"/>
              <w:autoSpaceDN w:val="0"/>
              <w:adjustRightInd w:val="0"/>
              <w:spacing w:after="0" w:line="240" w:lineRule="auto"/>
              <w:rPr>
                <w:rFonts w:cs="Zawgyi-One"/>
                <w:color w:val="000000"/>
                <w:sz w:val="18"/>
                <w:szCs w:val="18"/>
              </w:rPr>
            </w:pPr>
          </w:p>
        </w:tc>
      </w:tr>
      <w:tr w:rsidR="007176CE" w:rsidRPr="00FA7A76" w:rsidTr="00944CEE">
        <w:trPr>
          <w:trHeight w:val="876"/>
        </w:trPr>
        <w:tc>
          <w:tcPr>
            <w:tcW w:w="552" w:type="dxa"/>
          </w:tcPr>
          <w:p w:rsidR="007176CE" w:rsidRPr="007176CE" w:rsidRDefault="007176CE" w:rsidP="00807774">
            <w:pPr>
              <w:autoSpaceDE w:val="0"/>
              <w:autoSpaceDN w:val="0"/>
              <w:adjustRightInd w:val="0"/>
              <w:spacing w:after="0" w:line="240" w:lineRule="auto"/>
              <w:jc w:val="center"/>
              <w:rPr>
                <w:rFonts w:cs="Zawgyi-One"/>
                <w:sz w:val="18"/>
                <w:szCs w:val="18"/>
              </w:rPr>
            </w:pPr>
            <w:r w:rsidRPr="007176CE">
              <w:rPr>
                <w:rFonts w:cs="Zawgyi-One"/>
                <w:sz w:val="18"/>
                <w:szCs w:val="18"/>
              </w:rPr>
              <w:t>2</w:t>
            </w:r>
          </w:p>
        </w:tc>
        <w:tc>
          <w:tcPr>
            <w:tcW w:w="1908" w:type="dxa"/>
          </w:tcPr>
          <w:p w:rsidR="007176CE" w:rsidRPr="007176CE" w:rsidRDefault="007176CE" w:rsidP="00807774">
            <w:pPr>
              <w:autoSpaceDE w:val="0"/>
              <w:autoSpaceDN w:val="0"/>
              <w:adjustRightInd w:val="0"/>
              <w:spacing w:after="0" w:line="240" w:lineRule="auto"/>
              <w:rPr>
                <w:rFonts w:cs="Zawgyi-One"/>
                <w:sz w:val="18"/>
                <w:szCs w:val="18"/>
              </w:rPr>
            </w:pPr>
            <w:r w:rsidRPr="007176CE">
              <w:rPr>
                <w:rFonts w:cs="Zawgyi-One"/>
                <w:sz w:val="18"/>
                <w:szCs w:val="18"/>
              </w:rPr>
              <w:t>Workshop on SRG MF linkage (TOT ) (Providing Wholesale Loan to SRGs)</w:t>
            </w:r>
          </w:p>
        </w:tc>
        <w:tc>
          <w:tcPr>
            <w:tcW w:w="99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63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63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99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63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810" w:type="dxa"/>
          </w:tcPr>
          <w:p w:rsidR="007176CE" w:rsidRPr="00660F29"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w:t>
            </w:r>
          </w:p>
        </w:tc>
        <w:tc>
          <w:tcPr>
            <w:tcW w:w="1980" w:type="dxa"/>
          </w:tcPr>
          <w:p w:rsidR="007176CE" w:rsidRPr="00660F29" w:rsidRDefault="007176CE" w:rsidP="004C0861">
            <w:pPr>
              <w:autoSpaceDE w:val="0"/>
              <w:autoSpaceDN w:val="0"/>
              <w:adjustRightInd w:val="0"/>
              <w:spacing w:after="0" w:line="240" w:lineRule="auto"/>
              <w:rPr>
                <w:rFonts w:cs="Zawgyi-One"/>
                <w:color w:val="000000"/>
                <w:sz w:val="18"/>
                <w:szCs w:val="18"/>
              </w:rPr>
            </w:pPr>
          </w:p>
        </w:tc>
      </w:tr>
      <w:tr w:rsidR="007176CE" w:rsidRPr="00FA7A76" w:rsidTr="00512E0E">
        <w:trPr>
          <w:trHeight w:val="494"/>
        </w:trPr>
        <w:tc>
          <w:tcPr>
            <w:tcW w:w="552" w:type="dxa"/>
            <w:hideMark/>
          </w:tcPr>
          <w:p w:rsidR="007176CE" w:rsidRPr="007176CE" w:rsidRDefault="007176CE" w:rsidP="00807774">
            <w:pPr>
              <w:autoSpaceDE w:val="0"/>
              <w:autoSpaceDN w:val="0"/>
              <w:adjustRightInd w:val="0"/>
              <w:spacing w:after="0" w:line="240" w:lineRule="auto"/>
              <w:jc w:val="center"/>
              <w:rPr>
                <w:rFonts w:cs="Zawgyi-One"/>
                <w:sz w:val="18"/>
                <w:szCs w:val="18"/>
              </w:rPr>
            </w:pPr>
            <w:r w:rsidRPr="007176CE">
              <w:rPr>
                <w:rFonts w:cs="Zawgyi-One"/>
                <w:sz w:val="18"/>
                <w:szCs w:val="18"/>
              </w:rPr>
              <w:t>3</w:t>
            </w:r>
          </w:p>
        </w:tc>
        <w:tc>
          <w:tcPr>
            <w:tcW w:w="1908" w:type="dxa"/>
            <w:hideMark/>
          </w:tcPr>
          <w:p w:rsidR="007176CE" w:rsidRPr="007176CE" w:rsidRDefault="007176CE" w:rsidP="00807774">
            <w:pPr>
              <w:autoSpaceDE w:val="0"/>
              <w:autoSpaceDN w:val="0"/>
              <w:adjustRightInd w:val="0"/>
              <w:spacing w:after="0" w:line="240" w:lineRule="auto"/>
              <w:rPr>
                <w:rFonts w:cs="Zawgyi-One"/>
                <w:sz w:val="18"/>
                <w:szCs w:val="18"/>
              </w:rPr>
            </w:pPr>
            <w:r w:rsidRPr="007176CE">
              <w:rPr>
                <w:rFonts w:cs="Zawgyi-One"/>
                <w:sz w:val="18"/>
                <w:szCs w:val="18"/>
              </w:rPr>
              <w:t>Sensitization Meeting to SRG Leaders</w:t>
            </w:r>
          </w:p>
        </w:tc>
        <w:tc>
          <w:tcPr>
            <w:tcW w:w="990" w:type="dxa"/>
          </w:tcPr>
          <w:p w:rsidR="007176CE" w:rsidRPr="00E47AF6" w:rsidRDefault="007176CE" w:rsidP="004C0861">
            <w:pPr>
              <w:autoSpaceDE w:val="0"/>
              <w:autoSpaceDN w:val="0"/>
              <w:adjustRightInd w:val="0"/>
              <w:spacing w:after="0" w:line="240" w:lineRule="auto"/>
              <w:jc w:val="right"/>
              <w:rPr>
                <w:rFonts w:cs="Zawgyi-One"/>
                <w:color w:val="000000"/>
                <w:sz w:val="18"/>
                <w:szCs w:val="18"/>
                <w:highlight w:val="yellow"/>
              </w:rPr>
            </w:pPr>
            <w:r w:rsidRPr="00E562FA">
              <w:rPr>
                <w:rFonts w:cs="Zawgyi-One"/>
                <w:color w:val="000000"/>
                <w:sz w:val="18"/>
                <w:szCs w:val="18"/>
              </w:rPr>
              <w:t>182</w:t>
            </w:r>
          </w:p>
        </w:tc>
        <w:tc>
          <w:tcPr>
            <w:tcW w:w="630" w:type="dxa"/>
          </w:tcPr>
          <w:p w:rsidR="007176CE" w:rsidRPr="00E47AF6" w:rsidRDefault="007176CE" w:rsidP="004C0861">
            <w:pPr>
              <w:autoSpaceDE w:val="0"/>
              <w:autoSpaceDN w:val="0"/>
              <w:adjustRightInd w:val="0"/>
              <w:spacing w:after="0" w:line="240" w:lineRule="auto"/>
              <w:jc w:val="right"/>
              <w:rPr>
                <w:rFonts w:cs="Zawgyi-One"/>
                <w:color w:val="000000"/>
                <w:sz w:val="18"/>
                <w:szCs w:val="18"/>
                <w:highlight w:val="yellow"/>
              </w:rPr>
            </w:pPr>
            <w:r w:rsidRPr="00E562FA">
              <w:rPr>
                <w:rFonts w:cs="Zawgyi-One"/>
                <w:color w:val="000000"/>
                <w:sz w:val="18"/>
                <w:szCs w:val="18"/>
              </w:rPr>
              <w:t>21</w:t>
            </w:r>
          </w:p>
        </w:tc>
        <w:tc>
          <w:tcPr>
            <w:tcW w:w="630" w:type="dxa"/>
          </w:tcPr>
          <w:p w:rsidR="007176CE" w:rsidRPr="00E562FA" w:rsidRDefault="007176CE" w:rsidP="004C0861">
            <w:pPr>
              <w:autoSpaceDE w:val="0"/>
              <w:autoSpaceDN w:val="0"/>
              <w:adjustRightInd w:val="0"/>
              <w:spacing w:after="0" w:line="240" w:lineRule="auto"/>
              <w:jc w:val="right"/>
              <w:rPr>
                <w:rFonts w:cs="Zawgyi-One"/>
                <w:color w:val="000000"/>
                <w:sz w:val="18"/>
                <w:szCs w:val="18"/>
              </w:rPr>
            </w:pPr>
            <w:r w:rsidRPr="00E562FA">
              <w:rPr>
                <w:rFonts w:cs="Zawgyi-One"/>
                <w:color w:val="000000"/>
                <w:sz w:val="18"/>
                <w:szCs w:val="18"/>
              </w:rPr>
              <w:t>9</w:t>
            </w:r>
          </w:p>
        </w:tc>
        <w:tc>
          <w:tcPr>
            <w:tcW w:w="990" w:type="dxa"/>
          </w:tcPr>
          <w:p w:rsidR="007176CE" w:rsidRPr="00E562FA"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324</w:t>
            </w:r>
          </w:p>
        </w:tc>
        <w:tc>
          <w:tcPr>
            <w:tcW w:w="630" w:type="dxa"/>
          </w:tcPr>
          <w:p w:rsidR="007176CE" w:rsidRPr="00E562FA"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354</w:t>
            </w:r>
          </w:p>
        </w:tc>
        <w:tc>
          <w:tcPr>
            <w:tcW w:w="810" w:type="dxa"/>
          </w:tcPr>
          <w:p w:rsidR="007176CE" w:rsidRPr="00E562FA" w:rsidRDefault="007176CE" w:rsidP="004C0861">
            <w:pPr>
              <w:autoSpaceDE w:val="0"/>
              <w:autoSpaceDN w:val="0"/>
              <w:adjustRightInd w:val="0"/>
              <w:spacing w:after="0" w:line="240" w:lineRule="auto"/>
              <w:jc w:val="right"/>
              <w:rPr>
                <w:rFonts w:cs="Zawgyi-One"/>
                <w:color w:val="000000"/>
                <w:sz w:val="18"/>
                <w:szCs w:val="18"/>
              </w:rPr>
            </w:pPr>
            <w:r w:rsidRPr="00E562FA">
              <w:rPr>
                <w:rFonts w:cs="Zawgyi-One"/>
                <w:color w:val="000000"/>
                <w:sz w:val="18"/>
                <w:szCs w:val="18"/>
              </w:rPr>
              <w:t>1</w:t>
            </w:r>
          </w:p>
        </w:tc>
        <w:tc>
          <w:tcPr>
            <w:tcW w:w="1980" w:type="dxa"/>
          </w:tcPr>
          <w:p w:rsidR="007176CE" w:rsidRPr="00660F29" w:rsidRDefault="007176CE" w:rsidP="004C0861">
            <w:pPr>
              <w:autoSpaceDE w:val="0"/>
              <w:autoSpaceDN w:val="0"/>
              <w:adjustRightInd w:val="0"/>
              <w:spacing w:after="0" w:line="240" w:lineRule="auto"/>
              <w:rPr>
                <w:rFonts w:cs="Zawgyi-One"/>
                <w:color w:val="000000"/>
                <w:sz w:val="18"/>
                <w:szCs w:val="18"/>
              </w:rPr>
            </w:pPr>
            <w:r>
              <w:rPr>
                <w:rFonts w:cs="Zawgyi-One"/>
                <w:color w:val="000000"/>
                <w:sz w:val="18"/>
                <w:szCs w:val="18"/>
              </w:rPr>
              <w:t>SRGs villages in delta three townships</w:t>
            </w:r>
          </w:p>
        </w:tc>
      </w:tr>
      <w:tr w:rsidR="007176CE" w:rsidRPr="00FA7A76" w:rsidTr="00512E0E">
        <w:trPr>
          <w:trHeight w:val="710"/>
        </w:trPr>
        <w:tc>
          <w:tcPr>
            <w:tcW w:w="552" w:type="dxa"/>
            <w:hideMark/>
          </w:tcPr>
          <w:p w:rsidR="007176CE" w:rsidRPr="007176CE" w:rsidRDefault="007176CE" w:rsidP="00807774">
            <w:pPr>
              <w:autoSpaceDE w:val="0"/>
              <w:autoSpaceDN w:val="0"/>
              <w:adjustRightInd w:val="0"/>
              <w:spacing w:after="0" w:line="240" w:lineRule="auto"/>
              <w:jc w:val="center"/>
              <w:rPr>
                <w:rFonts w:cs="Zawgyi-One"/>
                <w:sz w:val="18"/>
                <w:szCs w:val="18"/>
              </w:rPr>
            </w:pPr>
            <w:r w:rsidRPr="007176CE">
              <w:rPr>
                <w:rFonts w:cs="Zawgyi-One"/>
                <w:sz w:val="18"/>
                <w:szCs w:val="18"/>
              </w:rPr>
              <w:t>4</w:t>
            </w:r>
          </w:p>
        </w:tc>
        <w:tc>
          <w:tcPr>
            <w:tcW w:w="1908" w:type="dxa"/>
            <w:hideMark/>
          </w:tcPr>
          <w:p w:rsidR="007176CE" w:rsidRPr="007176CE" w:rsidRDefault="007176CE" w:rsidP="00807774">
            <w:pPr>
              <w:autoSpaceDE w:val="0"/>
              <w:autoSpaceDN w:val="0"/>
              <w:adjustRightInd w:val="0"/>
              <w:spacing w:after="0" w:line="240" w:lineRule="auto"/>
              <w:rPr>
                <w:rFonts w:cs="Zawgyi-One"/>
                <w:sz w:val="18"/>
                <w:szCs w:val="18"/>
              </w:rPr>
            </w:pPr>
            <w:r w:rsidRPr="007176CE">
              <w:rPr>
                <w:rFonts w:cs="Zawgyi-One"/>
                <w:sz w:val="18"/>
                <w:szCs w:val="18"/>
              </w:rPr>
              <w:t>Capacity Building through Training for SRG Leaders</w:t>
            </w:r>
          </w:p>
        </w:tc>
        <w:tc>
          <w:tcPr>
            <w:tcW w:w="990" w:type="dxa"/>
          </w:tcPr>
          <w:p w:rsidR="007176CE" w:rsidRPr="003C1534" w:rsidRDefault="007176CE" w:rsidP="007B2E24">
            <w:pPr>
              <w:autoSpaceDE w:val="0"/>
              <w:autoSpaceDN w:val="0"/>
              <w:adjustRightInd w:val="0"/>
              <w:spacing w:after="0" w:line="240" w:lineRule="auto"/>
              <w:jc w:val="right"/>
              <w:rPr>
                <w:rFonts w:cs="Zawgyi-One"/>
                <w:color w:val="000000"/>
                <w:sz w:val="18"/>
                <w:szCs w:val="18"/>
              </w:rPr>
            </w:pPr>
            <w:r>
              <w:rPr>
                <w:rFonts w:cs="Zawgyi-One"/>
                <w:color w:val="000000"/>
                <w:sz w:val="18"/>
                <w:szCs w:val="18"/>
              </w:rPr>
              <w:t>2</w:t>
            </w:r>
            <w:r w:rsidR="007B2E24">
              <w:rPr>
                <w:rFonts w:cs="Zawgyi-One"/>
                <w:color w:val="000000"/>
                <w:sz w:val="18"/>
                <w:szCs w:val="18"/>
              </w:rPr>
              <w:t>1</w:t>
            </w:r>
          </w:p>
        </w:tc>
        <w:tc>
          <w:tcPr>
            <w:tcW w:w="630" w:type="dxa"/>
          </w:tcPr>
          <w:p w:rsidR="007176CE" w:rsidRPr="003C1534"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6</w:t>
            </w:r>
          </w:p>
        </w:tc>
        <w:tc>
          <w:tcPr>
            <w:tcW w:w="630" w:type="dxa"/>
          </w:tcPr>
          <w:p w:rsidR="007176CE" w:rsidRPr="003C1534" w:rsidRDefault="007176CE" w:rsidP="004C0861">
            <w:pPr>
              <w:autoSpaceDE w:val="0"/>
              <w:autoSpaceDN w:val="0"/>
              <w:adjustRightInd w:val="0"/>
              <w:spacing w:after="0" w:line="240" w:lineRule="auto"/>
              <w:jc w:val="right"/>
              <w:rPr>
                <w:rFonts w:cs="Zawgyi-One"/>
                <w:color w:val="000000"/>
                <w:sz w:val="18"/>
                <w:szCs w:val="18"/>
              </w:rPr>
            </w:pPr>
            <w:r w:rsidRPr="003C1534">
              <w:rPr>
                <w:rFonts w:cs="Zawgyi-One"/>
                <w:color w:val="000000"/>
                <w:sz w:val="18"/>
                <w:szCs w:val="18"/>
              </w:rPr>
              <w:t>-</w:t>
            </w:r>
          </w:p>
        </w:tc>
        <w:tc>
          <w:tcPr>
            <w:tcW w:w="990" w:type="dxa"/>
          </w:tcPr>
          <w:p w:rsidR="007176CE" w:rsidRPr="003C1534" w:rsidRDefault="007B2E24" w:rsidP="007B2E24">
            <w:pPr>
              <w:autoSpaceDE w:val="0"/>
              <w:autoSpaceDN w:val="0"/>
              <w:adjustRightInd w:val="0"/>
              <w:spacing w:after="0" w:line="240" w:lineRule="auto"/>
              <w:jc w:val="right"/>
              <w:rPr>
                <w:rFonts w:cs="Zawgyi-One"/>
                <w:color w:val="000000"/>
                <w:sz w:val="18"/>
                <w:szCs w:val="18"/>
              </w:rPr>
            </w:pPr>
            <w:r>
              <w:rPr>
                <w:rFonts w:cs="Zawgyi-One"/>
                <w:color w:val="000000"/>
                <w:sz w:val="18"/>
                <w:szCs w:val="18"/>
              </w:rPr>
              <w:t>42</w:t>
            </w:r>
          </w:p>
        </w:tc>
        <w:tc>
          <w:tcPr>
            <w:tcW w:w="630" w:type="dxa"/>
          </w:tcPr>
          <w:p w:rsidR="007176CE" w:rsidRPr="003C1534" w:rsidRDefault="007B2E24" w:rsidP="007B2E24">
            <w:pPr>
              <w:autoSpaceDE w:val="0"/>
              <w:autoSpaceDN w:val="0"/>
              <w:adjustRightInd w:val="0"/>
              <w:spacing w:after="0" w:line="240" w:lineRule="auto"/>
              <w:jc w:val="right"/>
              <w:rPr>
                <w:rFonts w:cs="Zawgyi-One"/>
                <w:color w:val="000000"/>
                <w:sz w:val="18"/>
                <w:szCs w:val="18"/>
              </w:rPr>
            </w:pPr>
            <w:r>
              <w:rPr>
                <w:rFonts w:cs="Zawgyi-One"/>
                <w:color w:val="000000"/>
                <w:sz w:val="18"/>
                <w:szCs w:val="18"/>
              </w:rPr>
              <w:t>48</w:t>
            </w:r>
          </w:p>
        </w:tc>
        <w:tc>
          <w:tcPr>
            <w:tcW w:w="810" w:type="dxa"/>
          </w:tcPr>
          <w:p w:rsidR="007176CE" w:rsidRPr="003C1534"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1</w:t>
            </w:r>
          </w:p>
        </w:tc>
        <w:tc>
          <w:tcPr>
            <w:tcW w:w="1980" w:type="dxa"/>
          </w:tcPr>
          <w:p w:rsidR="007176CE" w:rsidRPr="00660F29" w:rsidRDefault="007176CE" w:rsidP="004C0861">
            <w:pPr>
              <w:autoSpaceDE w:val="0"/>
              <w:autoSpaceDN w:val="0"/>
              <w:adjustRightInd w:val="0"/>
              <w:spacing w:after="0" w:line="240" w:lineRule="auto"/>
              <w:rPr>
                <w:rFonts w:cs="Zawgyi-One"/>
                <w:color w:val="000000"/>
                <w:sz w:val="18"/>
                <w:szCs w:val="18"/>
              </w:rPr>
            </w:pPr>
            <w:r>
              <w:rPr>
                <w:rFonts w:cs="Zawgyi-One"/>
                <w:color w:val="000000"/>
                <w:sz w:val="18"/>
                <w:szCs w:val="18"/>
              </w:rPr>
              <w:t xml:space="preserve">Same as above </w:t>
            </w:r>
          </w:p>
        </w:tc>
      </w:tr>
      <w:tr w:rsidR="007176CE" w:rsidRPr="00FA7A76" w:rsidTr="00944CEE">
        <w:trPr>
          <w:trHeight w:val="713"/>
        </w:trPr>
        <w:tc>
          <w:tcPr>
            <w:tcW w:w="552" w:type="dxa"/>
            <w:hideMark/>
          </w:tcPr>
          <w:p w:rsidR="007176CE" w:rsidRPr="007176CE" w:rsidRDefault="007176CE" w:rsidP="00807774">
            <w:pPr>
              <w:autoSpaceDE w:val="0"/>
              <w:autoSpaceDN w:val="0"/>
              <w:adjustRightInd w:val="0"/>
              <w:spacing w:after="0" w:line="240" w:lineRule="auto"/>
              <w:jc w:val="center"/>
              <w:rPr>
                <w:rFonts w:cs="Zawgyi-One"/>
                <w:sz w:val="18"/>
                <w:szCs w:val="18"/>
              </w:rPr>
            </w:pPr>
            <w:r w:rsidRPr="007176CE">
              <w:rPr>
                <w:rFonts w:cs="Zawgyi-One"/>
                <w:sz w:val="18"/>
                <w:szCs w:val="18"/>
              </w:rPr>
              <w:t>5</w:t>
            </w:r>
          </w:p>
        </w:tc>
        <w:tc>
          <w:tcPr>
            <w:tcW w:w="1908" w:type="dxa"/>
            <w:hideMark/>
          </w:tcPr>
          <w:p w:rsidR="007176CE" w:rsidRPr="007176CE" w:rsidRDefault="007176CE" w:rsidP="00807774">
            <w:pPr>
              <w:autoSpaceDE w:val="0"/>
              <w:autoSpaceDN w:val="0"/>
              <w:adjustRightInd w:val="0"/>
              <w:spacing w:after="0" w:line="240" w:lineRule="auto"/>
              <w:rPr>
                <w:rFonts w:cs="Zawgyi-One"/>
                <w:sz w:val="18"/>
                <w:szCs w:val="18"/>
              </w:rPr>
            </w:pPr>
            <w:r w:rsidRPr="007176CE">
              <w:rPr>
                <w:rFonts w:cs="Zawgyi-One"/>
                <w:sz w:val="18"/>
                <w:szCs w:val="18"/>
              </w:rPr>
              <w:t>Planning and Review Workshop on MF Linkage with SRGs</w:t>
            </w:r>
          </w:p>
        </w:tc>
        <w:tc>
          <w:tcPr>
            <w:tcW w:w="99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1</w:t>
            </w:r>
          </w:p>
        </w:tc>
        <w:tc>
          <w:tcPr>
            <w:tcW w:w="63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6</w:t>
            </w:r>
          </w:p>
        </w:tc>
        <w:tc>
          <w:tcPr>
            <w:tcW w:w="63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4</w:t>
            </w:r>
          </w:p>
        </w:tc>
        <w:tc>
          <w:tcPr>
            <w:tcW w:w="99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p>
        </w:tc>
        <w:tc>
          <w:tcPr>
            <w:tcW w:w="63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10</w:t>
            </w:r>
          </w:p>
        </w:tc>
        <w:tc>
          <w:tcPr>
            <w:tcW w:w="81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1</w:t>
            </w:r>
          </w:p>
        </w:tc>
        <w:tc>
          <w:tcPr>
            <w:tcW w:w="1980" w:type="dxa"/>
          </w:tcPr>
          <w:p w:rsidR="007176CE" w:rsidRPr="00660F29" w:rsidRDefault="007176CE" w:rsidP="004C0861">
            <w:pPr>
              <w:autoSpaceDE w:val="0"/>
              <w:autoSpaceDN w:val="0"/>
              <w:adjustRightInd w:val="0"/>
              <w:spacing w:after="0" w:line="240" w:lineRule="auto"/>
              <w:rPr>
                <w:rFonts w:cs="Zawgyi-One"/>
                <w:color w:val="000000"/>
                <w:sz w:val="18"/>
                <w:szCs w:val="18"/>
              </w:rPr>
            </w:pPr>
            <w:r>
              <w:rPr>
                <w:rFonts w:cs="Zawgyi-One"/>
                <w:color w:val="000000"/>
                <w:sz w:val="18"/>
                <w:szCs w:val="18"/>
              </w:rPr>
              <w:t>For Year-II Review and Planning Meeting</w:t>
            </w:r>
          </w:p>
        </w:tc>
      </w:tr>
      <w:tr w:rsidR="007176CE" w:rsidRPr="00FA7A76" w:rsidTr="00944CEE">
        <w:trPr>
          <w:trHeight w:val="597"/>
        </w:trPr>
        <w:tc>
          <w:tcPr>
            <w:tcW w:w="552" w:type="dxa"/>
            <w:hideMark/>
          </w:tcPr>
          <w:p w:rsidR="007176CE" w:rsidRPr="007176CE" w:rsidRDefault="007176CE" w:rsidP="00807774">
            <w:pPr>
              <w:autoSpaceDE w:val="0"/>
              <w:autoSpaceDN w:val="0"/>
              <w:adjustRightInd w:val="0"/>
              <w:spacing w:after="0" w:line="240" w:lineRule="auto"/>
              <w:jc w:val="center"/>
              <w:rPr>
                <w:rFonts w:cs="Zawgyi-One"/>
                <w:sz w:val="18"/>
                <w:szCs w:val="18"/>
              </w:rPr>
            </w:pPr>
            <w:r w:rsidRPr="007176CE">
              <w:rPr>
                <w:rFonts w:cs="Zawgyi-One"/>
                <w:sz w:val="18"/>
                <w:szCs w:val="18"/>
              </w:rPr>
              <w:t>6</w:t>
            </w:r>
          </w:p>
        </w:tc>
        <w:tc>
          <w:tcPr>
            <w:tcW w:w="1908" w:type="dxa"/>
            <w:hideMark/>
          </w:tcPr>
          <w:p w:rsidR="007176CE" w:rsidRPr="007176CE" w:rsidRDefault="007176CE" w:rsidP="00807774">
            <w:pPr>
              <w:autoSpaceDE w:val="0"/>
              <w:autoSpaceDN w:val="0"/>
              <w:adjustRightInd w:val="0"/>
              <w:spacing w:after="0" w:line="240" w:lineRule="auto"/>
              <w:rPr>
                <w:rFonts w:cs="Zawgyi-One"/>
                <w:sz w:val="18"/>
                <w:szCs w:val="18"/>
              </w:rPr>
            </w:pPr>
            <w:r w:rsidRPr="007176CE">
              <w:rPr>
                <w:rFonts w:cs="Zawgyi-One"/>
                <w:sz w:val="18"/>
                <w:szCs w:val="18"/>
              </w:rPr>
              <w:t xml:space="preserve">ICDP -MF joint Review and Coordination Meetings </w:t>
            </w:r>
          </w:p>
        </w:tc>
        <w:tc>
          <w:tcPr>
            <w:tcW w:w="99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3</w:t>
            </w:r>
          </w:p>
        </w:tc>
        <w:tc>
          <w:tcPr>
            <w:tcW w:w="63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2</w:t>
            </w:r>
          </w:p>
        </w:tc>
        <w:tc>
          <w:tcPr>
            <w:tcW w:w="63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2</w:t>
            </w:r>
          </w:p>
        </w:tc>
        <w:tc>
          <w:tcPr>
            <w:tcW w:w="99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p>
        </w:tc>
        <w:tc>
          <w:tcPr>
            <w:tcW w:w="63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4</w:t>
            </w:r>
          </w:p>
        </w:tc>
        <w:tc>
          <w:tcPr>
            <w:tcW w:w="810" w:type="dxa"/>
          </w:tcPr>
          <w:p w:rsidR="007176CE" w:rsidRPr="00F93D81" w:rsidRDefault="007176CE" w:rsidP="004C0861">
            <w:pPr>
              <w:autoSpaceDE w:val="0"/>
              <w:autoSpaceDN w:val="0"/>
              <w:adjustRightInd w:val="0"/>
              <w:spacing w:after="0" w:line="240" w:lineRule="auto"/>
              <w:jc w:val="right"/>
              <w:rPr>
                <w:rFonts w:cs="Zawgyi-One"/>
                <w:color w:val="000000"/>
                <w:sz w:val="18"/>
                <w:szCs w:val="18"/>
              </w:rPr>
            </w:pPr>
            <w:r>
              <w:rPr>
                <w:rFonts w:cs="Zawgyi-One"/>
                <w:color w:val="000000"/>
                <w:sz w:val="18"/>
                <w:szCs w:val="18"/>
              </w:rPr>
              <w:t>3</w:t>
            </w:r>
          </w:p>
        </w:tc>
        <w:tc>
          <w:tcPr>
            <w:tcW w:w="1980" w:type="dxa"/>
          </w:tcPr>
          <w:p w:rsidR="007176CE" w:rsidRPr="00660F29" w:rsidRDefault="007176CE" w:rsidP="004C0861">
            <w:pPr>
              <w:autoSpaceDE w:val="0"/>
              <w:autoSpaceDN w:val="0"/>
              <w:adjustRightInd w:val="0"/>
              <w:spacing w:after="0" w:line="240" w:lineRule="auto"/>
              <w:rPr>
                <w:rFonts w:cs="Zawgyi-One"/>
                <w:color w:val="000000"/>
                <w:sz w:val="18"/>
                <w:szCs w:val="18"/>
              </w:rPr>
            </w:pPr>
            <w:r>
              <w:rPr>
                <w:rFonts w:cs="Zawgyi-One"/>
                <w:color w:val="000000"/>
                <w:sz w:val="18"/>
                <w:szCs w:val="18"/>
              </w:rPr>
              <w:t>Finalizing for achieving target  in within Aug., and Sep., 2013</w:t>
            </w:r>
          </w:p>
        </w:tc>
      </w:tr>
      <w:bookmarkEnd w:id="1"/>
      <w:bookmarkEnd w:id="2"/>
    </w:tbl>
    <w:p w:rsidR="00F910A0" w:rsidRDefault="00F910A0" w:rsidP="00A17EFA">
      <w:pPr>
        <w:spacing w:before="120" w:after="120" w:line="240" w:lineRule="auto"/>
        <w:jc w:val="both"/>
        <w:rPr>
          <w:b/>
          <w:noProof/>
        </w:rPr>
      </w:pPr>
    </w:p>
    <w:p w:rsidR="00A17EFA" w:rsidRPr="007176CE" w:rsidRDefault="00A17EFA" w:rsidP="00A17EFA">
      <w:pPr>
        <w:spacing w:before="120" w:after="120" w:line="240" w:lineRule="auto"/>
        <w:jc w:val="both"/>
      </w:pPr>
      <w:r w:rsidRPr="007176CE">
        <w:rPr>
          <w:b/>
          <w:noProof/>
        </w:rPr>
        <w:t>Table (</w:t>
      </w:r>
      <w:r w:rsidR="00D679D8" w:rsidRPr="007176CE">
        <w:rPr>
          <w:b/>
          <w:noProof/>
        </w:rPr>
        <w:t>3</w:t>
      </w:r>
      <w:r w:rsidRPr="007176CE">
        <w:rPr>
          <w:b/>
          <w:noProof/>
        </w:rPr>
        <w:t>) Township-wise loan disbursement and loan outstand</w:t>
      </w:r>
      <w:r w:rsidR="00D679D8" w:rsidRPr="007176CE">
        <w:rPr>
          <w:b/>
          <w:noProof/>
        </w:rPr>
        <w:t xml:space="preserve">ing during </w:t>
      </w:r>
      <w:r w:rsidR="007176CE" w:rsidRPr="007176CE">
        <w:rPr>
          <w:b/>
          <w:noProof/>
        </w:rPr>
        <w:t>July-</w:t>
      </w:r>
      <w:r w:rsidR="007176CE">
        <w:rPr>
          <w:b/>
          <w:noProof/>
        </w:rPr>
        <w:t>Sep</w:t>
      </w:r>
      <w:r w:rsidR="00D679D8" w:rsidRPr="007176CE">
        <w:rPr>
          <w:b/>
          <w:noProof/>
        </w:rPr>
        <w:t xml:space="preserve"> 2013</w:t>
      </w:r>
    </w:p>
    <w:p w:rsidR="00630589" w:rsidRPr="00FA7A76" w:rsidRDefault="00630589" w:rsidP="00630589">
      <w:pPr>
        <w:tabs>
          <w:tab w:val="left" w:pos="720"/>
          <w:tab w:val="left" w:pos="7488"/>
        </w:tabs>
        <w:spacing w:after="0" w:line="240" w:lineRule="auto"/>
        <w:jc w:val="both"/>
        <w:rPr>
          <w:color w:val="FF0000"/>
        </w:rPr>
      </w:pPr>
    </w:p>
    <w:tbl>
      <w:tblPr>
        <w:tblStyle w:val="TableGrid"/>
        <w:tblW w:w="9270" w:type="dxa"/>
        <w:tblInd w:w="18" w:type="dxa"/>
        <w:tblLayout w:type="fixed"/>
        <w:tblLook w:val="04A0" w:firstRow="1" w:lastRow="0" w:firstColumn="1" w:lastColumn="0" w:noHBand="0" w:noVBand="1"/>
      </w:tblPr>
      <w:tblGrid>
        <w:gridCol w:w="539"/>
        <w:gridCol w:w="630"/>
        <w:gridCol w:w="810"/>
        <w:gridCol w:w="720"/>
        <w:gridCol w:w="810"/>
        <w:gridCol w:w="630"/>
        <w:gridCol w:w="720"/>
        <w:gridCol w:w="720"/>
        <w:gridCol w:w="720"/>
        <w:gridCol w:w="630"/>
        <w:gridCol w:w="900"/>
        <w:gridCol w:w="631"/>
        <w:gridCol w:w="810"/>
      </w:tblGrid>
      <w:tr w:rsidR="00005C8F" w:rsidRPr="00FA7A76" w:rsidTr="00F910A0">
        <w:tc>
          <w:tcPr>
            <w:tcW w:w="539" w:type="dxa"/>
            <w:vMerge w:val="restart"/>
            <w:shd w:val="clear" w:color="auto" w:fill="DAEEF3" w:themeFill="accent5" w:themeFillTint="33"/>
            <w:vAlign w:val="center"/>
          </w:tcPr>
          <w:p w:rsidR="00005C8F" w:rsidRPr="007176CE" w:rsidRDefault="00005C8F" w:rsidP="00807774">
            <w:pPr>
              <w:pStyle w:val="ListParagraph"/>
              <w:ind w:left="0"/>
              <w:jc w:val="center"/>
              <w:rPr>
                <w:sz w:val="18"/>
                <w:szCs w:val="18"/>
              </w:rPr>
            </w:pPr>
            <w:r w:rsidRPr="007176CE">
              <w:rPr>
                <w:sz w:val="18"/>
                <w:szCs w:val="18"/>
              </w:rPr>
              <w:t>TSP</w:t>
            </w:r>
          </w:p>
        </w:tc>
        <w:tc>
          <w:tcPr>
            <w:tcW w:w="7290" w:type="dxa"/>
            <w:gridSpan w:val="10"/>
            <w:shd w:val="clear" w:color="auto" w:fill="DAEEF3" w:themeFill="accent5" w:themeFillTint="33"/>
            <w:vAlign w:val="center"/>
          </w:tcPr>
          <w:p w:rsidR="00005C8F" w:rsidRPr="007176CE" w:rsidRDefault="00005C8F" w:rsidP="00807774">
            <w:pPr>
              <w:jc w:val="center"/>
              <w:rPr>
                <w:sz w:val="18"/>
                <w:szCs w:val="18"/>
              </w:rPr>
            </w:pPr>
            <w:r w:rsidRPr="007176CE">
              <w:rPr>
                <w:sz w:val="18"/>
                <w:szCs w:val="18"/>
              </w:rPr>
              <w:t xml:space="preserve">                             Wholesale Loans disbursed in K ‘000</w:t>
            </w:r>
          </w:p>
        </w:tc>
        <w:tc>
          <w:tcPr>
            <w:tcW w:w="1441" w:type="dxa"/>
            <w:gridSpan w:val="2"/>
            <w:shd w:val="clear" w:color="auto" w:fill="DAEEF3" w:themeFill="accent5" w:themeFillTint="33"/>
            <w:vAlign w:val="center"/>
          </w:tcPr>
          <w:p w:rsidR="00005C8F" w:rsidRPr="007176CE" w:rsidRDefault="00005C8F" w:rsidP="00807774">
            <w:pPr>
              <w:jc w:val="center"/>
              <w:rPr>
                <w:sz w:val="18"/>
                <w:szCs w:val="18"/>
              </w:rPr>
            </w:pPr>
            <w:r w:rsidRPr="007176CE">
              <w:rPr>
                <w:sz w:val="18"/>
                <w:szCs w:val="18"/>
              </w:rPr>
              <w:t>Outstanding in Ks. ‘000</w:t>
            </w:r>
          </w:p>
        </w:tc>
      </w:tr>
      <w:tr w:rsidR="00005C8F" w:rsidRPr="00FA7A76" w:rsidTr="00F910A0">
        <w:tc>
          <w:tcPr>
            <w:tcW w:w="539" w:type="dxa"/>
            <w:vMerge/>
            <w:shd w:val="clear" w:color="auto" w:fill="DAEEF3" w:themeFill="accent5" w:themeFillTint="33"/>
          </w:tcPr>
          <w:p w:rsidR="00005C8F" w:rsidRPr="007176CE" w:rsidRDefault="00005C8F" w:rsidP="00807774">
            <w:pPr>
              <w:pStyle w:val="ListParagraph"/>
              <w:ind w:left="0"/>
              <w:jc w:val="both"/>
            </w:pPr>
          </w:p>
        </w:tc>
        <w:tc>
          <w:tcPr>
            <w:tcW w:w="1440" w:type="dxa"/>
            <w:gridSpan w:val="2"/>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1st cycle</w:t>
            </w:r>
          </w:p>
        </w:tc>
        <w:tc>
          <w:tcPr>
            <w:tcW w:w="1530" w:type="dxa"/>
            <w:gridSpan w:val="2"/>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2nd cycle</w:t>
            </w:r>
          </w:p>
        </w:tc>
        <w:tc>
          <w:tcPr>
            <w:tcW w:w="1350" w:type="dxa"/>
            <w:gridSpan w:val="2"/>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3rd cycle</w:t>
            </w:r>
          </w:p>
        </w:tc>
        <w:tc>
          <w:tcPr>
            <w:tcW w:w="1440" w:type="dxa"/>
            <w:gridSpan w:val="2"/>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4</w:t>
            </w:r>
            <w:r w:rsidRPr="007176CE">
              <w:rPr>
                <w:rFonts w:eastAsia="Times New Roman" w:cstheme="minorHAnsi"/>
                <w:bCs/>
                <w:sz w:val="18"/>
                <w:szCs w:val="18"/>
                <w:vertAlign w:val="superscript"/>
              </w:rPr>
              <w:t>th</w:t>
            </w:r>
            <w:r w:rsidRPr="007176CE">
              <w:rPr>
                <w:rFonts w:eastAsia="Times New Roman" w:cstheme="minorHAnsi"/>
                <w:bCs/>
                <w:sz w:val="18"/>
                <w:szCs w:val="18"/>
              </w:rPr>
              <w:t xml:space="preserve"> cycle</w:t>
            </w:r>
          </w:p>
        </w:tc>
        <w:tc>
          <w:tcPr>
            <w:tcW w:w="1530" w:type="dxa"/>
            <w:gridSpan w:val="2"/>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Total</w:t>
            </w:r>
          </w:p>
        </w:tc>
        <w:tc>
          <w:tcPr>
            <w:tcW w:w="1441" w:type="dxa"/>
            <w:gridSpan w:val="2"/>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 xml:space="preserve">Total </w:t>
            </w:r>
          </w:p>
        </w:tc>
      </w:tr>
      <w:tr w:rsidR="00005C8F" w:rsidRPr="00FA7A76" w:rsidTr="00F910A0">
        <w:tc>
          <w:tcPr>
            <w:tcW w:w="539" w:type="dxa"/>
            <w:vMerge/>
            <w:shd w:val="clear" w:color="auto" w:fill="DAEEF3" w:themeFill="accent5" w:themeFillTint="33"/>
          </w:tcPr>
          <w:p w:rsidR="00005C8F" w:rsidRPr="007176CE" w:rsidRDefault="00005C8F" w:rsidP="00807774">
            <w:pPr>
              <w:pStyle w:val="ListParagraph"/>
              <w:ind w:left="0"/>
              <w:jc w:val="both"/>
            </w:pPr>
          </w:p>
        </w:tc>
        <w:tc>
          <w:tcPr>
            <w:tcW w:w="630" w:type="dxa"/>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No of SRGs</w:t>
            </w:r>
          </w:p>
        </w:tc>
        <w:tc>
          <w:tcPr>
            <w:tcW w:w="810" w:type="dxa"/>
            <w:shd w:val="clear" w:color="auto" w:fill="DAEEF3" w:themeFill="accent5" w:themeFillTint="33"/>
          </w:tcPr>
          <w:p w:rsidR="00005C8F" w:rsidRPr="007176CE" w:rsidRDefault="00005C8F" w:rsidP="00807774">
            <w:pPr>
              <w:jc w:val="center"/>
              <w:rPr>
                <w:rFonts w:eastAsia="Times New Roman" w:cstheme="minorHAnsi"/>
                <w:bCs/>
                <w:sz w:val="18"/>
                <w:szCs w:val="18"/>
              </w:rPr>
            </w:pPr>
            <w:proofErr w:type="spellStart"/>
            <w:r w:rsidRPr="007176CE">
              <w:rPr>
                <w:rFonts w:eastAsia="Times New Roman" w:cstheme="minorHAnsi"/>
                <w:bCs/>
                <w:sz w:val="18"/>
                <w:szCs w:val="18"/>
              </w:rPr>
              <w:t>Amt</w:t>
            </w:r>
            <w:proofErr w:type="spellEnd"/>
            <w:r w:rsidRPr="007176CE">
              <w:rPr>
                <w:rFonts w:eastAsia="Times New Roman" w:cstheme="minorHAnsi"/>
                <w:bCs/>
                <w:sz w:val="18"/>
                <w:szCs w:val="18"/>
              </w:rPr>
              <w:t xml:space="preserve">      </w:t>
            </w:r>
          </w:p>
        </w:tc>
        <w:tc>
          <w:tcPr>
            <w:tcW w:w="720" w:type="dxa"/>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No of SRGs</w:t>
            </w:r>
          </w:p>
        </w:tc>
        <w:tc>
          <w:tcPr>
            <w:tcW w:w="810" w:type="dxa"/>
            <w:shd w:val="clear" w:color="auto" w:fill="DAEEF3" w:themeFill="accent5" w:themeFillTint="33"/>
          </w:tcPr>
          <w:p w:rsidR="00005C8F" w:rsidRPr="007176CE" w:rsidRDefault="00005C8F" w:rsidP="00807774">
            <w:pPr>
              <w:jc w:val="center"/>
              <w:rPr>
                <w:rFonts w:eastAsia="Times New Roman" w:cstheme="minorHAnsi"/>
                <w:bCs/>
                <w:sz w:val="18"/>
                <w:szCs w:val="18"/>
              </w:rPr>
            </w:pPr>
            <w:proofErr w:type="spellStart"/>
            <w:r w:rsidRPr="007176CE">
              <w:rPr>
                <w:rFonts w:eastAsia="Times New Roman" w:cstheme="minorHAnsi"/>
                <w:bCs/>
                <w:sz w:val="18"/>
                <w:szCs w:val="18"/>
              </w:rPr>
              <w:t>Amt</w:t>
            </w:r>
            <w:proofErr w:type="spellEnd"/>
            <w:r w:rsidRPr="007176CE">
              <w:rPr>
                <w:rFonts w:eastAsia="Times New Roman" w:cstheme="minorHAnsi"/>
                <w:bCs/>
                <w:sz w:val="18"/>
                <w:szCs w:val="18"/>
              </w:rPr>
              <w:t xml:space="preserve">       </w:t>
            </w:r>
          </w:p>
        </w:tc>
        <w:tc>
          <w:tcPr>
            <w:tcW w:w="630" w:type="dxa"/>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No of SRGs</w:t>
            </w:r>
          </w:p>
        </w:tc>
        <w:tc>
          <w:tcPr>
            <w:tcW w:w="720" w:type="dxa"/>
            <w:shd w:val="clear" w:color="auto" w:fill="DAEEF3" w:themeFill="accent5" w:themeFillTint="33"/>
          </w:tcPr>
          <w:p w:rsidR="00005C8F" w:rsidRPr="007176CE" w:rsidRDefault="00005C8F" w:rsidP="00807774">
            <w:pPr>
              <w:jc w:val="center"/>
              <w:rPr>
                <w:rFonts w:eastAsia="Times New Roman" w:cstheme="minorHAnsi"/>
                <w:bCs/>
                <w:sz w:val="18"/>
                <w:szCs w:val="18"/>
              </w:rPr>
            </w:pPr>
            <w:proofErr w:type="spellStart"/>
            <w:r w:rsidRPr="007176CE">
              <w:rPr>
                <w:rFonts w:eastAsia="Times New Roman" w:cstheme="minorHAnsi"/>
                <w:bCs/>
                <w:sz w:val="18"/>
                <w:szCs w:val="18"/>
              </w:rPr>
              <w:t>Amt</w:t>
            </w:r>
            <w:proofErr w:type="spellEnd"/>
            <w:r w:rsidRPr="007176CE">
              <w:rPr>
                <w:rFonts w:eastAsia="Times New Roman" w:cstheme="minorHAnsi"/>
                <w:bCs/>
                <w:sz w:val="18"/>
                <w:szCs w:val="18"/>
              </w:rPr>
              <w:t xml:space="preserve">       </w:t>
            </w:r>
          </w:p>
        </w:tc>
        <w:tc>
          <w:tcPr>
            <w:tcW w:w="720" w:type="dxa"/>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No of SRGs</w:t>
            </w:r>
          </w:p>
        </w:tc>
        <w:tc>
          <w:tcPr>
            <w:tcW w:w="720" w:type="dxa"/>
            <w:shd w:val="clear" w:color="auto" w:fill="DAEEF3" w:themeFill="accent5" w:themeFillTint="33"/>
          </w:tcPr>
          <w:p w:rsidR="00005C8F" w:rsidRPr="007176CE" w:rsidRDefault="00005C8F" w:rsidP="00120407">
            <w:pPr>
              <w:jc w:val="center"/>
              <w:rPr>
                <w:rFonts w:eastAsia="Times New Roman" w:cstheme="minorHAnsi"/>
                <w:bCs/>
                <w:sz w:val="18"/>
                <w:szCs w:val="18"/>
              </w:rPr>
            </w:pPr>
            <w:proofErr w:type="spellStart"/>
            <w:r w:rsidRPr="007176CE">
              <w:rPr>
                <w:rFonts w:eastAsia="Times New Roman" w:cstheme="minorHAnsi"/>
                <w:bCs/>
                <w:sz w:val="18"/>
                <w:szCs w:val="18"/>
              </w:rPr>
              <w:t>Amt</w:t>
            </w:r>
            <w:proofErr w:type="spellEnd"/>
            <w:r w:rsidRPr="007176CE">
              <w:rPr>
                <w:rFonts w:eastAsia="Times New Roman" w:cstheme="minorHAnsi"/>
                <w:bCs/>
                <w:sz w:val="18"/>
                <w:szCs w:val="18"/>
              </w:rPr>
              <w:t xml:space="preserve">       </w:t>
            </w:r>
          </w:p>
        </w:tc>
        <w:tc>
          <w:tcPr>
            <w:tcW w:w="630" w:type="dxa"/>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No of SRGs</w:t>
            </w:r>
          </w:p>
        </w:tc>
        <w:tc>
          <w:tcPr>
            <w:tcW w:w="900" w:type="dxa"/>
            <w:shd w:val="clear" w:color="auto" w:fill="DAEEF3" w:themeFill="accent5" w:themeFillTint="33"/>
          </w:tcPr>
          <w:p w:rsidR="00005C8F" w:rsidRPr="007176CE" w:rsidRDefault="00005C8F" w:rsidP="00807774">
            <w:pPr>
              <w:jc w:val="center"/>
              <w:rPr>
                <w:rFonts w:eastAsia="Times New Roman" w:cstheme="minorHAnsi"/>
                <w:bCs/>
                <w:sz w:val="18"/>
                <w:szCs w:val="18"/>
              </w:rPr>
            </w:pPr>
            <w:proofErr w:type="spellStart"/>
            <w:r w:rsidRPr="007176CE">
              <w:rPr>
                <w:rFonts w:eastAsia="Times New Roman" w:cstheme="minorHAnsi"/>
                <w:bCs/>
                <w:sz w:val="18"/>
                <w:szCs w:val="18"/>
              </w:rPr>
              <w:t>Amt</w:t>
            </w:r>
            <w:proofErr w:type="spellEnd"/>
            <w:r w:rsidRPr="007176CE">
              <w:rPr>
                <w:rFonts w:eastAsia="Times New Roman" w:cstheme="minorHAnsi"/>
                <w:bCs/>
                <w:sz w:val="18"/>
                <w:szCs w:val="18"/>
              </w:rPr>
              <w:t xml:space="preserve">       </w:t>
            </w:r>
          </w:p>
        </w:tc>
        <w:tc>
          <w:tcPr>
            <w:tcW w:w="631" w:type="dxa"/>
            <w:shd w:val="clear" w:color="auto" w:fill="DAEEF3" w:themeFill="accent5" w:themeFillTint="33"/>
          </w:tcPr>
          <w:p w:rsidR="00005C8F" w:rsidRPr="007176CE" w:rsidRDefault="00005C8F" w:rsidP="00807774">
            <w:pPr>
              <w:jc w:val="center"/>
              <w:rPr>
                <w:rFonts w:eastAsia="Times New Roman" w:cstheme="minorHAnsi"/>
                <w:bCs/>
                <w:sz w:val="18"/>
                <w:szCs w:val="18"/>
              </w:rPr>
            </w:pPr>
            <w:r w:rsidRPr="007176CE">
              <w:rPr>
                <w:rFonts w:eastAsia="Times New Roman" w:cstheme="minorHAnsi"/>
                <w:bCs/>
                <w:sz w:val="18"/>
                <w:szCs w:val="18"/>
              </w:rPr>
              <w:t>No of SRGs</w:t>
            </w:r>
          </w:p>
        </w:tc>
        <w:tc>
          <w:tcPr>
            <w:tcW w:w="810" w:type="dxa"/>
            <w:shd w:val="clear" w:color="auto" w:fill="DAEEF3" w:themeFill="accent5" w:themeFillTint="33"/>
          </w:tcPr>
          <w:p w:rsidR="00005C8F" w:rsidRPr="007176CE" w:rsidRDefault="00005C8F" w:rsidP="00120407">
            <w:pPr>
              <w:jc w:val="center"/>
              <w:rPr>
                <w:rFonts w:eastAsia="Times New Roman" w:cstheme="minorHAnsi"/>
                <w:bCs/>
                <w:sz w:val="18"/>
                <w:szCs w:val="18"/>
              </w:rPr>
            </w:pPr>
            <w:proofErr w:type="spellStart"/>
            <w:r w:rsidRPr="007176CE">
              <w:rPr>
                <w:rFonts w:eastAsia="Times New Roman" w:cstheme="minorHAnsi"/>
                <w:bCs/>
                <w:sz w:val="18"/>
                <w:szCs w:val="18"/>
              </w:rPr>
              <w:t>Amt</w:t>
            </w:r>
            <w:proofErr w:type="spellEnd"/>
            <w:r w:rsidRPr="007176CE">
              <w:rPr>
                <w:rFonts w:eastAsia="Times New Roman" w:cstheme="minorHAnsi"/>
                <w:bCs/>
                <w:sz w:val="18"/>
                <w:szCs w:val="18"/>
              </w:rPr>
              <w:t xml:space="preserve">       </w:t>
            </w:r>
          </w:p>
        </w:tc>
      </w:tr>
      <w:tr w:rsidR="00005C8F" w:rsidRPr="00FA7A76" w:rsidTr="00F910A0">
        <w:trPr>
          <w:trHeight w:val="288"/>
        </w:trPr>
        <w:tc>
          <w:tcPr>
            <w:tcW w:w="539" w:type="dxa"/>
          </w:tcPr>
          <w:p w:rsidR="00005C8F" w:rsidRPr="007176CE" w:rsidRDefault="00005C8F" w:rsidP="00807774">
            <w:pPr>
              <w:rPr>
                <w:rFonts w:eastAsia="Times New Roman" w:cstheme="minorHAnsi"/>
                <w:sz w:val="18"/>
                <w:szCs w:val="18"/>
              </w:rPr>
            </w:pPr>
            <w:r w:rsidRPr="007176CE">
              <w:rPr>
                <w:rFonts w:eastAsia="Times New Roman" w:cstheme="minorHAnsi"/>
                <w:sz w:val="18"/>
                <w:szCs w:val="18"/>
              </w:rPr>
              <w:t>BGL</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15</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11,400</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18</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25,350</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1,200</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34</w:t>
            </w:r>
          </w:p>
        </w:tc>
        <w:tc>
          <w:tcPr>
            <w:tcW w:w="90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37,950</w:t>
            </w:r>
          </w:p>
        </w:tc>
        <w:tc>
          <w:tcPr>
            <w:tcW w:w="631"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77</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71,516</w:t>
            </w:r>
          </w:p>
        </w:tc>
      </w:tr>
      <w:tr w:rsidR="00005C8F" w:rsidRPr="00FA7A76" w:rsidTr="00F910A0">
        <w:trPr>
          <w:trHeight w:val="288"/>
        </w:trPr>
        <w:tc>
          <w:tcPr>
            <w:tcW w:w="539" w:type="dxa"/>
          </w:tcPr>
          <w:p w:rsidR="00005C8F" w:rsidRPr="007176CE" w:rsidRDefault="00005C8F" w:rsidP="00807774">
            <w:pPr>
              <w:rPr>
                <w:rFonts w:eastAsia="Times New Roman" w:cstheme="minorHAnsi"/>
                <w:sz w:val="18"/>
                <w:szCs w:val="18"/>
              </w:rPr>
            </w:pPr>
            <w:r w:rsidRPr="007176CE">
              <w:rPr>
                <w:rFonts w:eastAsia="Times New Roman" w:cstheme="minorHAnsi"/>
                <w:sz w:val="18"/>
                <w:szCs w:val="18"/>
              </w:rPr>
              <w:t>MG</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9</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11,000</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7</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15,100</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10</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30,100</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6</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20,700</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32</w:t>
            </w:r>
          </w:p>
        </w:tc>
        <w:tc>
          <w:tcPr>
            <w:tcW w:w="90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76,900</w:t>
            </w:r>
          </w:p>
        </w:tc>
        <w:tc>
          <w:tcPr>
            <w:tcW w:w="631"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88</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164,550</w:t>
            </w:r>
          </w:p>
        </w:tc>
      </w:tr>
      <w:tr w:rsidR="00005C8F" w:rsidRPr="00FA7A76" w:rsidTr="00F910A0">
        <w:trPr>
          <w:trHeight w:val="288"/>
        </w:trPr>
        <w:tc>
          <w:tcPr>
            <w:tcW w:w="539" w:type="dxa"/>
          </w:tcPr>
          <w:p w:rsidR="00005C8F" w:rsidRPr="007176CE" w:rsidRDefault="00005C8F" w:rsidP="00807774">
            <w:pPr>
              <w:rPr>
                <w:rFonts w:eastAsia="Times New Roman" w:cstheme="minorHAnsi"/>
                <w:sz w:val="18"/>
                <w:szCs w:val="18"/>
              </w:rPr>
            </w:pPr>
            <w:r w:rsidRPr="007176CE">
              <w:rPr>
                <w:rFonts w:eastAsia="Times New Roman" w:cstheme="minorHAnsi"/>
                <w:sz w:val="18"/>
                <w:szCs w:val="18"/>
              </w:rPr>
              <w:t>LPT</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12</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10,400</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15</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29,600</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w:t>
            </w:r>
          </w:p>
        </w:tc>
        <w:tc>
          <w:tcPr>
            <w:tcW w:w="72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w:t>
            </w:r>
          </w:p>
        </w:tc>
        <w:tc>
          <w:tcPr>
            <w:tcW w:w="63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27</w:t>
            </w:r>
          </w:p>
        </w:tc>
        <w:tc>
          <w:tcPr>
            <w:tcW w:w="90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40,000</w:t>
            </w:r>
          </w:p>
        </w:tc>
        <w:tc>
          <w:tcPr>
            <w:tcW w:w="631"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81</w:t>
            </w:r>
          </w:p>
        </w:tc>
        <w:tc>
          <w:tcPr>
            <w:tcW w:w="810" w:type="dxa"/>
          </w:tcPr>
          <w:p w:rsidR="00005C8F" w:rsidRPr="00723766" w:rsidRDefault="00005C8F" w:rsidP="004C0861">
            <w:pPr>
              <w:jc w:val="right"/>
              <w:rPr>
                <w:rFonts w:eastAsia="Times New Roman" w:cstheme="minorHAnsi"/>
                <w:sz w:val="18"/>
                <w:szCs w:val="18"/>
              </w:rPr>
            </w:pPr>
            <w:r w:rsidRPr="00723766">
              <w:rPr>
                <w:rFonts w:eastAsia="Times New Roman" w:cstheme="minorHAnsi"/>
                <w:sz w:val="18"/>
                <w:szCs w:val="18"/>
              </w:rPr>
              <w:t>94,246</w:t>
            </w:r>
          </w:p>
        </w:tc>
      </w:tr>
      <w:tr w:rsidR="00005C8F" w:rsidRPr="00FA7A76" w:rsidTr="00F910A0">
        <w:trPr>
          <w:trHeight w:val="288"/>
        </w:trPr>
        <w:tc>
          <w:tcPr>
            <w:tcW w:w="539" w:type="dxa"/>
          </w:tcPr>
          <w:p w:rsidR="00005C8F" w:rsidRPr="007176CE" w:rsidRDefault="00005C8F" w:rsidP="00807774">
            <w:pPr>
              <w:rPr>
                <w:rFonts w:eastAsia="Times New Roman" w:cstheme="minorHAnsi"/>
                <w:bCs/>
                <w:sz w:val="18"/>
                <w:szCs w:val="18"/>
              </w:rPr>
            </w:pPr>
          </w:p>
        </w:tc>
        <w:tc>
          <w:tcPr>
            <w:tcW w:w="63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36</w:t>
            </w:r>
          </w:p>
        </w:tc>
        <w:tc>
          <w:tcPr>
            <w:tcW w:w="81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3</w:t>
            </w:r>
            <w:r w:rsidRPr="00723766">
              <w:rPr>
                <w:rFonts w:eastAsia="Times New Roman" w:cstheme="minorHAnsi"/>
                <w:bCs/>
                <w:sz w:val="18"/>
                <w:szCs w:val="18"/>
              </w:rPr>
              <w:fldChar w:fldCharType="begin"/>
            </w:r>
            <w:r w:rsidRPr="00723766">
              <w:rPr>
                <w:rFonts w:eastAsia="Times New Roman" w:cstheme="minorHAnsi"/>
                <w:bCs/>
                <w:sz w:val="18"/>
                <w:szCs w:val="18"/>
              </w:rPr>
              <w:instrText xml:space="preserve"> =SUM(ABOVE) </w:instrText>
            </w:r>
            <w:r w:rsidRPr="00723766">
              <w:rPr>
                <w:rFonts w:eastAsia="Times New Roman" w:cstheme="minorHAnsi"/>
                <w:bCs/>
                <w:sz w:val="18"/>
                <w:szCs w:val="18"/>
              </w:rPr>
              <w:fldChar w:fldCharType="separate"/>
            </w:r>
            <w:r w:rsidRPr="00723766">
              <w:rPr>
                <w:rFonts w:eastAsia="Times New Roman" w:cstheme="minorHAnsi"/>
                <w:bCs/>
                <w:noProof/>
                <w:sz w:val="18"/>
                <w:szCs w:val="18"/>
              </w:rPr>
              <w:t>2,800</w:t>
            </w:r>
            <w:r w:rsidRPr="00723766">
              <w:rPr>
                <w:rFonts w:eastAsia="Times New Roman" w:cstheme="minorHAnsi"/>
                <w:bCs/>
                <w:sz w:val="18"/>
                <w:szCs w:val="18"/>
              </w:rPr>
              <w:fldChar w:fldCharType="end"/>
            </w:r>
          </w:p>
        </w:tc>
        <w:tc>
          <w:tcPr>
            <w:tcW w:w="72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40</w:t>
            </w:r>
          </w:p>
        </w:tc>
        <w:tc>
          <w:tcPr>
            <w:tcW w:w="81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70,050</w:t>
            </w:r>
          </w:p>
        </w:tc>
        <w:tc>
          <w:tcPr>
            <w:tcW w:w="63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11</w:t>
            </w:r>
          </w:p>
        </w:tc>
        <w:tc>
          <w:tcPr>
            <w:tcW w:w="72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31,300</w:t>
            </w:r>
          </w:p>
        </w:tc>
        <w:tc>
          <w:tcPr>
            <w:tcW w:w="72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6</w:t>
            </w:r>
          </w:p>
        </w:tc>
        <w:tc>
          <w:tcPr>
            <w:tcW w:w="72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20,700</w:t>
            </w:r>
          </w:p>
        </w:tc>
        <w:tc>
          <w:tcPr>
            <w:tcW w:w="63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93</w:t>
            </w:r>
          </w:p>
        </w:tc>
        <w:tc>
          <w:tcPr>
            <w:tcW w:w="90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fldChar w:fldCharType="begin"/>
            </w:r>
            <w:r w:rsidRPr="00723766">
              <w:rPr>
                <w:rFonts w:eastAsia="Times New Roman" w:cstheme="minorHAnsi"/>
                <w:bCs/>
                <w:sz w:val="18"/>
                <w:szCs w:val="18"/>
              </w:rPr>
              <w:instrText xml:space="preserve"> =SUM(ABOVE) </w:instrText>
            </w:r>
            <w:r w:rsidRPr="00723766">
              <w:rPr>
                <w:rFonts w:eastAsia="Times New Roman" w:cstheme="minorHAnsi"/>
                <w:bCs/>
                <w:sz w:val="18"/>
                <w:szCs w:val="18"/>
              </w:rPr>
              <w:fldChar w:fldCharType="separate"/>
            </w:r>
            <w:r w:rsidRPr="00723766">
              <w:rPr>
                <w:rFonts w:eastAsia="Times New Roman" w:cstheme="minorHAnsi"/>
                <w:bCs/>
                <w:noProof/>
                <w:sz w:val="18"/>
                <w:szCs w:val="18"/>
              </w:rPr>
              <w:t>154,850</w:t>
            </w:r>
            <w:r w:rsidRPr="00723766">
              <w:rPr>
                <w:rFonts w:eastAsia="Times New Roman" w:cstheme="minorHAnsi"/>
                <w:bCs/>
                <w:sz w:val="18"/>
                <w:szCs w:val="18"/>
              </w:rPr>
              <w:fldChar w:fldCharType="end"/>
            </w:r>
          </w:p>
        </w:tc>
        <w:tc>
          <w:tcPr>
            <w:tcW w:w="631"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246</w:t>
            </w:r>
          </w:p>
        </w:tc>
        <w:tc>
          <w:tcPr>
            <w:tcW w:w="810" w:type="dxa"/>
          </w:tcPr>
          <w:p w:rsidR="00005C8F" w:rsidRPr="00723766" w:rsidRDefault="00005C8F" w:rsidP="004C0861">
            <w:pPr>
              <w:jc w:val="right"/>
              <w:rPr>
                <w:rFonts w:eastAsia="Times New Roman" w:cstheme="minorHAnsi"/>
                <w:bCs/>
                <w:sz w:val="18"/>
                <w:szCs w:val="18"/>
              </w:rPr>
            </w:pPr>
            <w:r w:rsidRPr="00723766">
              <w:rPr>
                <w:rFonts w:eastAsia="Times New Roman" w:cstheme="minorHAnsi"/>
                <w:bCs/>
                <w:sz w:val="18"/>
                <w:szCs w:val="18"/>
              </w:rPr>
              <w:t>330,312</w:t>
            </w:r>
          </w:p>
        </w:tc>
      </w:tr>
    </w:tbl>
    <w:p w:rsidR="00E2373C" w:rsidRPr="00FA7A76" w:rsidRDefault="00E2373C" w:rsidP="00630589">
      <w:pPr>
        <w:tabs>
          <w:tab w:val="left" w:pos="720"/>
          <w:tab w:val="left" w:pos="7488"/>
        </w:tabs>
        <w:spacing w:after="0" w:line="240" w:lineRule="auto"/>
        <w:jc w:val="both"/>
        <w:rPr>
          <w:color w:val="FF0000"/>
        </w:rPr>
      </w:pPr>
    </w:p>
    <w:sectPr w:rsidR="00E2373C" w:rsidRPr="00FA7A76" w:rsidSect="00F33592">
      <w:footerReference w:type="default" r:id="rId16"/>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38" w:rsidRDefault="00B24E38" w:rsidP="00286BCE">
      <w:pPr>
        <w:spacing w:after="0" w:line="240" w:lineRule="auto"/>
      </w:pPr>
      <w:r>
        <w:separator/>
      </w:r>
    </w:p>
  </w:endnote>
  <w:endnote w:type="continuationSeparator" w:id="0">
    <w:p w:rsidR="00B24E38" w:rsidRDefault="00B24E38" w:rsidP="0028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Zawgyi-One">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1562"/>
      <w:docPartObj>
        <w:docPartGallery w:val="Page Numbers (Bottom of Page)"/>
        <w:docPartUnique/>
      </w:docPartObj>
    </w:sdtPr>
    <w:sdtEndPr/>
    <w:sdtContent>
      <w:sdt>
        <w:sdtPr>
          <w:id w:val="168380321"/>
          <w:docPartObj>
            <w:docPartGallery w:val="Page Numbers (Top of Page)"/>
            <w:docPartUnique/>
          </w:docPartObj>
        </w:sdtPr>
        <w:sdtEndPr/>
        <w:sdtContent>
          <w:p w:rsidR="007A437E" w:rsidRDefault="007A437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C1505">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1505">
              <w:rPr>
                <w:b/>
                <w:noProof/>
              </w:rPr>
              <w:t>11</w:t>
            </w:r>
            <w:r>
              <w:rPr>
                <w:b/>
                <w:sz w:val="24"/>
                <w:szCs w:val="24"/>
              </w:rPr>
              <w:fldChar w:fldCharType="end"/>
            </w:r>
          </w:p>
        </w:sdtContent>
      </w:sdt>
    </w:sdtContent>
  </w:sdt>
  <w:p w:rsidR="007A437E" w:rsidRDefault="007A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38" w:rsidRDefault="00B24E38" w:rsidP="00286BCE">
      <w:pPr>
        <w:spacing w:after="0" w:line="240" w:lineRule="auto"/>
      </w:pPr>
      <w:r>
        <w:separator/>
      </w:r>
    </w:p>
  </w:footnote>
  <w:footnote w:type="continuationSeparator" w:id="0">
    <w:p w:rsidR="00B24E38" w:rsidRDefault="00B24E38" w:rsidP="00286BCE">
      <w:pPr>
        <w:spacing w:after="0" w:line="240" w:lineRule="auto"/>
      </w:pPr>
      <w:r>
        <w:continuationSeparator/>
      </w:r>
    </w:p>
  </w:footnote>
  <w:footnote w:id="1">
    <w:p w:rsidR="007A437E" w:rsidRPr="00204E69" w:rsidRDefault="007A437E">
      <w:pPr>
        <w:pStyle w:val="FootnoteText"/>
        <w:rPr>
          <w:sz w:val="18"/>
          <w:szCs w:val="18"/>
        </w:rPr>
      </w:pPr>
      <w:r>
        <w:rPr>
          <w:rStyle w:val="FootnoteReference"/>
        </w:rPr>
        <w:footnoteRef/>
      </w:r>
      <w:r>
        <w:t xml:space="preserve"> </w:t>
      </w:r>
      <w:r w:rsidRPr="00204E69">
        <w:rPr>
          <w:sz w:val="18"/>
          <w:szCs w:val="18"/>
        </w:rPr>
        <w:t xml:space="preserve">Human Development Initiative program of UNDP in Myanmar </w:t>
      </w:r>
    </w:p>
  </w:footnote>
  <w:footnote w:id="2">
    <w:p w:rsidR="007A437E" w:rsidRPr="00204E69" w:rsidRDefault="007A437E">
      <w:pPr>
        <w:pStyle w:val="FootnoteText"/>
        <w:rPr>
          <w:sz w:val="18"/>
          <w:szCs w:val="18"/>
        </w:rPr>
      </w:pPr>
      <w:r w:rsidRPr="00204E69">
        <w:rPr>
          <w:rStyle w:val="FootnoteReference"/>
          <w:sz w:val="18"/>
          <w:szCs w:val="18"/>
        </w:rPr>
        <w:footnoteRef/>
      </w:r>
      <w:r w:rsidRPr="00204E69">
        <w:rPr>
          <w:sz w:val="18"/>
          <w:szCs w:val="18"/>
        </w:rPr>
        <w:t xml:space="preserve"> CDRT – Community Development for Remote Townships</w:t>
      </w:r>
    </w:p>
  </w:footnote>
  <w:footnote w:id="3">
    <w:p w:rsidR="007A437E" w:rsidRDefault="007A437E">
      <w:pPr>
        <w:pStyle w:val="FootnoteText"/>
      </w:pPr>
      <w:r w:rsidRPr="00204E69">
        <w:rPr>
          <w:rStyle w:val="FootnoteReference"/>
          <w:sz w:val="18"/>
          <w:szCs w:val="18"/>
        </w:rPr>
        <w:footnoteRef/>
      </w:r>
      <w:r w:rsidRPr="00204E69">
        <w:rPr>
          <w:sz w:val="18"/>
          <w:szCs w:val="18"/>
        </w:rPr>
        <w:t xml:space="preserve"> ICDP – Integrated Community Development Project</w:t>
      </w:r>
    </w:p>
  </w:footnote>
  <w:footnote w:id="4">
    <w:p w:rsidR="007A437E" w:rsidRPr="00701135" w:rsidRDefault="007A437E">
      <w:pPr>
        <w:pStyle w:val="FootnoteText"/>
        <w:rPr>
          <w:sz w:val="18"/>
          <w:szCs w:val="18"/>
        </w:rPr>
      </w:pPr>
      <w:r>
        <w:rPr>
          <w:rStyle w:val="FootnoteReference"/>
        </w:rPr>
        <w:footnoteRef/>
      </w:r>
      <w:r>
        <w:t xml:space="preserve"> </w:t>
      </w:r>
      <w:r w:rsidRPr="00701135">
        <w:rPr>
          <w:sz w:val="18"/>
          <w:szCs w:val="18"/>
        </w:rPr>
        <w:t>969.24 Kyat per one US Dollar is assumed as quarterly rate by calculating weighted average on loan disbursement</w:t>
      </w:r>
    </w:p>
  </w:footnote>
  <w:footnote w:id="5">
    <w:p w:rsidR="007A437E" w:rsidRDefault="007A437E">
      <w:pPr>
        <w:pStyle w:val="FootnoteText"/>
      </w:pPr>
      <w:r>
        <w:rPr>
          <w:rStyle w:val="FootnoteReference"/>
        </w:rPr>
        <w:footnoteRef/>
      </w:r>
      <w:r>
        <w:t xml:space="preserve"> The target has been agreed to reduce to 350 SRGs</w:t>
      </w:r>
    </w:p>
  </w:footnote>
  <w:footnote w:id="6">
    <w:p w:rsidR="007A437E" w:rsidRDefault="007A437E" w:rsidP="006A37ED">
      <w:pPr>
        <w:pStyle w:val="FootnoteText"/>
      </w:pPr>
      <w:r>
        <w:rPr>
          <w:rStyle w:val="FootnoteReference"/>
        </w:rPr>
        <w:footnoteRef/>
      </w:r>
      <w:r>
        <w:t xml:space="preserve"> $1 =969.24 according to weighted average rate of disbursement during the quarters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AA5"/>
    <w:multiLevelType w:val="hybridMultilevel"/>
    <w:tmpl w:val="DFF8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71A6"/>
    <w:multiLevelType w:val="hybridMultilevel"/>
    <w:tmpl w:val="BF9C65BA"/>
    <w:lvl w:ilvl="0" w:tplc="2D80E3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E7808"/>
    <w:multiLevelType w:val="hybridMultilevel"/>
    <w:tmpl w:val="3ED6ECD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41341E4"/>
    <w:multiLevelType w:val="hybridMultilevel"/>
    <w:tmpl w:val="0C5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73EFC"/>
    <w:multiLevelType w:val="hybridMultilevel"/>
    <w:tmpl w:val="0CB6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054C4"/>
    <w:multiLevelType w:val="hybridMultilevel"/>
    <w:tmpl w:val="14901C62"/>
    <w:lvl w:ilvl="0" w:tplc="22BCE86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D2AFC"/>
    <w:multiLevelType w:val="hybridMultilevel"/>
    <w:tmpl w:val="8A1A808A"/>
    <w:lvl w:ilvl="0" w:tplc="91B8B3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3482"/>
    <w:multiLevelType w:val="hybridMultilevel"/>
    <w:tmpl w:val="E0A007D4"/>
    <w:lvl w:ilvl="0" w:tplc="41827C94">
      <w:start w:val="1"/>
      <w:numFmt w:val="upperLetter"/>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E1677"/>
    <w:multiLevelType w:val="hybridMultilevel"/>
    <w:tmpl w:val="5B5682F8"/>
    <w:lvl w:ilvl="0" w:tplc="E7AC7388">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E2971"/>
    <w:multiLevelType w:val="hybridMultilevel"/>
    <w:tmpl w:val="C960FE08"/>
    <w:lvl w:ilvl="0" w:tplc="AD80BD60">
      <w:start w:val="1"/>
      <w:numFmt w:val="decimal"/>
      <w:lvlText w:val="%1."/>
      <w:lvlJc w:val="left"/>
      <w:pPr>
        <w:ind w:left="36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B2508B"/>
    <w:multiLevelType w:val="hybridMultilevel"/>
    <w:tmpl w:val="A6B856AC"/>
    <w:lvl w:ilvl="0" w:tplc="BF0CAC12">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754C"/>
    <w:multiLevelType w:val="hybridMultilevel"/>
    <w:tmpl w:val="3EFEF918"/>
    <w:lvl w:ilvl="0" w:tplc="D6924F12">
      <w:start w:val="1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7C2CEF"/>
    <w:multiLevelType w:val="hybridMultilevel"/>
    <w:tmpl w:val="C960FE08"/>
    <w:lvl w:ilvl="0" w:tplc="AD80BD60">
      <w:start w:val="1"/>
      <w:numFmt w:val="decimal"/>
      <w:lvlText w:val="%1."/>
      <w:lvlJc w:val="left"/>
      <w:pPr>
        <w:ind w:left="36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E35A17"/>
    <w:multiLevelType w:val="hybridMultilevel"/>
    <w:tmpl w:val="1F7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648B1"/>
    <w:multiLevelType w:val="hybridMultilevel"/>
    <w:tmpl w:val="183AC7FA"/>
    <w:lvl w:ilvl="0" w:tplc="04090001">
      <w:start w:val="1"/>
      <w:numFmt w:val="bullet"/>
      <w:lvlText w:val=""/>
      <w:lvlJc w:val="left"/>
      <w:pPr>
        <w:ind w:left="1042" w:hanging="360"/>
      </w:pPr>
      <w:rPr>
        <w:rFonts w:ascii="Symbol" w:hAnsi="Symbol" w:hint="default"/>
      </w:rPr>
    </w:lvl>
    <w:lvl w:ilvl="1" w:tplc="3D681BDA">
      <w:numFmt w:val="bullet"/>
      <w:lvlText w:val="•"/>
      <w:lvlJc w:val="left"/>
      <w:pPr>
        <w:ind w:left="2032" w:hanging="630"/>
      </w:pPr>
      <w:rPr>
        <w:rFonts w:ascii="Calibri" w:eastAsiaTheme="minorEastAsia" w:hAnsi="Calibri" w:cstheme="minorBidi"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5">
    <w:nsid w:val="42D80F41"/>
    <w:multiLevelType w:val="hybridMultilevel"/>
    <w:tmpl w:val="A2C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B32B4"/>
    <w:multiLevelType w:val="hybridMultilevel"/>
    <w:tmpl w:val="CDF23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47A87"/>
    <w:multiLevelType w:val="hybridMultilevel"/>
    <w:tmpl w:val="AF94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D20A9"/>
    <w:multiLevelType w:val="hybridMultilevel"/>
    <w:tmpl w:val="A20E5C1A"/>
    <w:lvl w:ilvl="0" w:tplc="332EB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DC3D67"/>
    <w:multiLevelType w:val="hybridMultilevel"/>
    <w:tmpl w:val="D3785B72"/>
    <w:lvl w:ilvl="0" w:tplc="04090013">
      <w:start w:val="1"/>
      <w:numFmt w:val="upperRoman"/>
      <w:lvlText w:val="%1."/>
      <w:lvlJc w:val="right"/>
      <w:pPr>
        <w:ind w:left="36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2C374F"/>
    <w:multiLevelType w:val="hybridMultilevel"/>
    <w:tmpl w:val="3A38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C5667"/>
    <w:multiLevelType w:val="hybridMultilevel"/>
    <w:tmpl w:val="CB0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75323"/>
    <w:multiLevelType w:val="hybridMultilevel"/>
    <w:tmpl w:val="98184584"/>
    <w:lvl w:ilvl="0" w:tplc="87A4021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1D443EE"/>
    <w:multiLevelType w:val="hybridMultilevel"/>
    <w:tmpl w:val="6966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594267"/>
    <w:multiLevelType w:val="hybridMultilevel"/>
    <w:tmpl w:val="D7603590"/>
    <w:lvl w:ilvl="0" w:tplc="66206D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C13F7E"/>
    <w:multiLevelType w:val="hybridMultilevel"/>
    <w:tmpl w:val="097AC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E70C4"/>
    <w:multiLevelType w:val="hybridMultilevel"/>
    <w:tmpl w:val="DE46B56E"/>
    <w:lvl w:ilvl="0" w:tplc="AD80BD60">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E567D6"/>
    <w:multiLevelType w:val="hybridMultilevel"/>
    <w:tmpl w:val="AE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B2489"/>
    <w:multiLevelType w:val="hybridMultilevel"/>
    <w:tmpl w:val="8D743598"/>
    <w:lvl w:ilvl="0" w:tplc="BFEA2FA0">
      <w:start w:val="1"/>
      <w:numFmt w:val="lowerRoman"/>
      <w:lvlText w:val="%1)"/>
      <w:lvlJc w:val="left"/>
      <w:pPr>
        <w:ind w:left="2159" w:hanging="72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9">
    <w:nsid w:val="6DEC3CF1"/>
    <w:multiLevelType w:val="hybridMultilevel"/>
    <w:tmpl w:val="FA66E1C0"/>
    <w:lvl w:ilvl="0" w:tplc="17B4B3EC">
      <w:start w:val="1"/>
      <w:numFmt w:val="upperLetter"/>
      <w:lvlText w:val="%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04A31"/>
    <w:multiLevelType w:val="hybridMultilevel"/>
    <w:tmpl w:val="654EC5D0"/>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1">
    <w:nsid w:val="717C7C2E"/>
    <w:multiLevelType w:val="hybridMultilevel"/>
    <w:tmpl w:val="E4BCC2FA"/>
    <w:lvl w:ilvl="0" w:tplc="F4FCFF6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C047A"/>
    <w:multiLevelType w:val="hybridMultilevel"/>
    <w:tmpl w:val="D1789F30"/>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3">
    <w:nsid w:val="74594F4E"/>
    <w:multiLevelType w:val="hybridMultilevel"/>
    <w:tmpl w:val="9236B2A0"/>
    <w:lvl w:ilvl="0" w:tplc="27F2D968">
      <w:start w:val="1"/>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33"/>
  </w:num>
  <w:num w:numId="4">
    <w:abstractNumId w:val="9"/>
  </w:num>
  <w:num w:numId="5">
    <w:abstractNumId w:val="18"/>
  </w:num>
  <w:num w:numId="6">
    <w:abstractNumId w:val="17"/>
  </w:num>
  <w:num w:numId="7">
    <w:abstractNumId w:val="15"/>
  </w:num>
  <w:num w:numId="8">
    <w:abstractNumId w:val="13"/>
  </w:num>
  <w:num w:numId="9">
    <w:abstractNumId w:val="21"/>
  </w:num>
  <w:num w:numId="10">
    <w:abstractNumId w:val="27"/>
  </w:num>
  <w:num w:numId="11">
    <w:abstractNumId w:val="28"/>
  </w:num>
  <w:num w:numId="12">
    <w:abstractNumId w:val="1"/>
  </w:num>
  <w:num w:numId="13">
    <w:abstractNumId w:val="24"/>
  </w:num>
  <w:num w:numId="14">
    <w:abstractNumId w:val="26"/>
  </w:num>
  <w:num w:numId="15">
    <w:abstractNumId w:val="6"/>
  </w:num>
  <w:num w:numId="16">
    <w:abstractNumId w:val="14"/>
  </w:num>
  <w:num w:numId="17">
    <w:abstractNumId w:val="30"/>
  </w:num>
  <w:num w:numId="18">
    <w:abstractNumId w:val="32"/>
  </w:num>
  <w:num w:numId="19">
    <w:abstractNumId w:val="23"/>
  </w:num>
  <w:num w:numId="20">
    <w:abstractNumId w:val="11"/>
  </w:num>
  <w:num w:numId="21">
    <w:abstractNumId w:val="0"/>
  </w:num>
  <w:num w:numId="22">
    <w:abstractNumId w:val="3"/>
  </w:num>
  <w:num w:numId="23">
    <w:abstractNumId w:val="8"/>
  </w:num>
  <w:num w:numId="24">
    <w:abstractNumId w:val="29"/>
  </w:num>
  <w:num w:numId="25">
    <w:abstractNumId w:val="12"/>
  </w:num>
  <w:num w:numId="26">
    <w:abstractNumId w:val="19"/>
  </w:num>
  <w:num w:numId="27">
    <w:abstractNumId w:val="20"/>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 w:numId="33">
    <w:abstractNumId w:val="10"/>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CE"/>
    <w:rsid w:val="00000644"/>
    <w:rsid w:val="00001D38"/>
    <w:rsid w:val="00005C8F"/>
    <w:rsid w:val="000106EB"/>
    <w:rsid w:val="000107C7"/>
    <w:rsid w:val="0001347D"/>
    <w:rsid w:val="0002045B"/>
    <w:rsid w:val="00024FF4"/>
    <w:rsid w:val="00030E27"/>
    <w:rsid w:val="00032293"/>
    <w:rsid w:val="00037B4C"/>
    <w:rsid w:val="000402F2"/>
    <w:rsid w:val="0004068A"/>
    <w:rsid w:val="00044759"/>
    <w:rsid w:val="00060AE0"/>
    <w:rsid w:val="00062ED8"/>
    <w:rsid w:val="000638EB"/>
    <w:rsid w:val="0007387F"/>
    <w:rsid w:val="0007569F"/>
    <w:rsid w:val="000821A7"/>
    <w:rsid w:val="000825A2"/>
    <w:rsid w:val="000825B6"/>
    <w:rsid w:val="0008427F"/>
    <w:rsid w:val="00090010"/>
    <w:rsid w:val="000905F1"/>
    <w:rsid w:val="00090D5C"/>
    <w:rsid w:val="000930BB"/>
    <w:rsid w:val="00096272"/>
    <w:rsid w:val="00096904"/>
    <w:rsid w:val="000A07A7"/>
    <w:rsid w:val="000B0925"/>
    <w:rsid w:val="000B47F5"/>
    <w:rsid w:val="000B4C3D"/>
    <w:rsid w:val="000B7C69"/>
    <w:rsid w:val="000C1653"/>
    <w:rsid w:val="000C290E"/>
    <w:rsid w:val="000C4EB4"/>
    <w:rsid w:val="000C7529"/>
    <w:rsid w:val="000D106D"/>
    <w:rsid w:val="000D1145"/>
    <w:rsid w:val="000D3254"/>
    <w:rsid w:val="000D3F7F"/>
    <w:rsid w:val="000E54C2"/>
    <w:rsid w:val="000F47A5"/>
    <w:rsid w:val="000F4BE2"/>
    <w:rsid w:val="000F58D1"/>
    <w:rsid w:val="00102030"/>
    <w:rsid w:val="0010209F"/>
    <w:rsid w:val="0011158D"/>
    <w:rsid w:val="001136B7"/>
    <w:rsid w:val="0011508F"/>
    <w:rsid w:val="00115839"/>
    <w:rsid w:val="00120407"/>
    <w:rsid w:val="00126C18"/>
    <w:rsid w:val="00132C33"/>
    <w:rsid w:val="0014082E"/>
    <w:rsid w:val="00140C6F"/>
    <w:rsid w:val="00141EFC"/>
    <w:rsid w:val="001420FC"/>
    <w:rsid w:val="00144628"/>
    <w:rsid w:val="00146710"/>
    <w:rsid w:val="00150F4E"/>
    <w:rsid w:val="00157228"/>
    <w:rsid w:val="001601FD"/>
    <w:rsid w:val="00162577"/>
    <w:rsid w:val="00162FCF"/>
    <w:rsid w:val="00172319"/>
    <w:rsid w:val="00174865"/>
    <w:rsid w:val="00180C4F"/>
    <w:rsid w:val="00181C63"/>
    <w:rsid w:val="00185B35"/>
    <w:rsid w:val="00187EEB"/>
    <w:rsid w:val="00190A23"/>
    <w:rsid w:val="00192ED6"/>
    <w:rsid w:val="001949DF"/>
    <w:rsid w:val="00196B52"/>
    <w:rsid w:val="001A2B0A"/>
    <w:rsid w:val="001A2C54"/>
    <w:rsid w:val="001A503D"/>
    <w:rsid w:val="001A5D1E"/>
    <w:rsid w:val="001A69F0"/>
    <w:rsid w:val="001A79DB"/>
    <w:rsid w:val="001B25B2"/>
    <w:rsid w:val="001B3650"/>
    <w:rsid w:val="001C1B6D"/>
    <w:rsid w:val="001C75D2"/>
    <w:rsid w:val="001C7E50"/>
    <w:rsid w:val="001D3504"/>
    <w:rsid w:val="001D4BB5"/>
    <w:rsid w:val="001D5227"/>
    <w:rsid w:val="001D6ADA"/>
    <w:rsid w:val="001E1925"/>
    <w:rsid w:val="001E6D86"/>
    <w:rsid w:val="001E7054"/>
    <w:rsid w:val="001F2036"/>
    <w:rsid w:val="001F2AAD"/>
    <w:rsid w:val="001F31A9"/>
    <w:rsid w:val="001F5E39"/>
    <w:rsid w:val="001F6855"/>
    <w:rsid w:val="002027EC"/>
    <w:rsid w:val="00204499"/>
    <w:rsid w:val="00204E69"/>
    <w:rsid w:val="00204EA9"/>
    <w:rsid w:val="00212627"/>
    <w:rsid w:val="002132A8"/>
    <w:rsid w:val="00213DB1"/>
    <w:rsid w:val="00213EE4"/>
    <w:rsid w:val="0021610C"/>
    <w:rsid w:val="00216DB7"/>
    <w:rsid w:val="00225890"/>
    <w:rsid w:val="00245191"/>
    <w:rsid w:val="002460BC"/>
    <w:rsid w:val="00246FDC"/>
    <w:rsid w:val="00247532"/>
    <w:rsid w:val="002511BF"/>
    <w:rsid w:val="00252809"/>
    <w:rsid w:val="0025625B"/>
    <w:rsid w:val="00260573"/>
    <w:rsid w:val="0026321A"/>
    <w:rsid w:val="002635AD"/>
    <w:rsid w:val="00263822"/>
    <w:rsid w:val="00263A75"/>
    <w:rsid w:val="002662B0"/>
    <w:rsid w:val="00270460"/>
    <w:rsid w:val="00272435"/>
    <w:rsid w:val="0027482D"/>
    <w:rsid w:val="00277F1F"/>
    <w:rsid w:val="00281DB4"/>
    <w:rsid w:val="00284222"/>
    <w:rsid w:val="0028637C"/>
    <w:rsid w:val="00286BCE"/>
    <w:rsid w:val="002943F1"/>
    <w:rsid w:val="0029455B"/>
    <w:rsid w:val="0029716B"/>
    <w:rsid w:val="00297DCB"/>
    <w:rsid w:val="002A03FF"/>
    <w:rsid w:val="002A234B"/>
    <w:rsid w:val="002A3BF4"/>
    <w:rsid w:val="002A4330"/>
    <w:rsid w:val="002A6C70"/>
    <w:rsid w:val="002B1177"/>
    <w:rsid w:val="002B4CCF"/>
    <w:rsid w:val="002B5B07"/>
    <w:rsid w:val="002C111F"/>
    <w:rsid w:val="002C6F75"/>
    <w:rsid w:val="002D488A"/>
    <w:rsid w:val="002E06F3"/>
    <w:rsid w:val="002E2FBA"/>
    <w:rsid w:val="002E5CEB"/>
    <w:rsid w:val="002E65E1"/>
    <w:rsid w:val="002E671D"/>
    <w:rsid w:val="002F36FD"/>
    <w:rsid w:val="002F47E0"/>
    <w:rsid w:val="003013E0"/>
    <w:rsid w:val="00302D64"/>
    <w:rsid w:val="0030321B"/>
    <w:rsid w:val="00303631"/>
    <w:rsid w:val="00306E20"/>
    <w:rsid w:val="00313182"/>
    <w:rsid w:val="0031374B"/>
    <w:rsid w:val="0031454E"/>
    <w:rsid w:val="00314A4C"/>
    <w:rsid w:val="0031722A"/>
    <w:rsid w:val="00320617"/>
    <w:rsid w:val="00325BFD"/>
    <w:rsid w:val="00326710"/>
    <w:rsid w:val="00330C5A"/>
    <w:rsid w:val="00332AAF"/>
    <w:rsid w:val="00333549"/>
    <w:rsid w:val="0033507D"/>
    <w:rsid w:val="00337E4D"/>
    <w:rsid w:val="00345243"/>
    <w:rsid w:val="00345341"/>
    <w:rsid w:val="003468FF"/>
    <w:rsid w:val="00351318"/>
    <w:rsid w:val="00351AEF"/>
    <w:rsid w:val="00361004"/>
    <w:rsid w:val="003632FB"/>
    <w:rsid w:val="00363625"/>
    <w:rsid w:val="00363744"/>
    <w:rsid w:val="00364754"/>
    <w:rsid w:val="00365C62"/>
    <w:rsid w:val="003674E5"/>
    <w:rsid w:val="003678C9"/>
    <w:rsid w:val="00372ED1"/>
    <w:rsid w:val="0037333B"/>
    <w:rsid w:val="00381D46"/>
    <w:rsid w:val="003850E7"/>
    <w:rsid w:val="0039010D"/>
    <w:rsid w:val="00391098"/>
    <w:rsid w:val="003918B9"/>
    <w:rsid w:val="00394516"/>
    <w:rsid w:val="003A055F"/>
    <w:rsid w:val="003A305A"/>
    <w:rsid w:val="003A3239"/>
    <w:rsid w:val="003A420B"/>
    <w:rsid w:val="003A69A1"/>
    <w:rsid w:val="003A7522"/>
    <w:rsid w:val="003B0B81"/>
    <w:rsid w:val="003B2C29"/>
    <w:rsid w:val="003B742D"/>
    <w:rsid w:val="003B7C82"/>
    <w:rsid w:val="003C43BC"/>
    <w:rsid w:val="003D74C8"/>
    <w:rsid w:val="003E1126"/>
    <w:rsid w:val="003E196C"/>
    <w:rsid w:val="003E3ABC"/>
    <w:rsid w:val="003E7541"/>
    <w:rsid w:val="003F32B5"/>
    <w:rsid w:val="003F3F20"/>
    <w:rsid w:val="003F5103"/>
    <w:rsid w:val="003F629C"/>
    <w:rsid w:val="00400770"/>
    <w:rsid w:val="00401919"/>
    <w:rsid w:val="00404D22"/>
    <w:rsid w:val="00411E3A"/>
    <w:rsid w:val="0041338F"/>
    <w:rsid w:val="00416F10"/>
    <w:rsid w:val="00420C78"/>
    <w:rsid w:val="004213F1"/>
    <w:rsid w:val="004215A6"/>
    <w:rsid w:val="00422ACA"/>
    <w:rsid w:val="00424989"/>
    <w:rsid w:val="00430589"/>
    <w:rsid w:val="004349DF"/>
    <w:rsid w:val="004349F7"/>
    <w:rsid w:val="0043580C"/>
    <w:rsid w:val="00436676"/>
    <w:rsid w:val="0044305E"/>
    <w:rsid w:val="00443A94"/>
    <w:rsid w:val="00445FF4"/>
    <w:rsid w:val="00447B37"/>
    <w:rsid w:val="00453B56"/>
    <w:rsid w:val="004605CE"/>
    <w:rsid w:val="004740FB"/>
    <w:rsid w:val="00474EE2"/>
    <w:rsid w:val="0048105D"/>
    <w:rsid w:val="00482E1D"/>
    <w:rsid w:val="00483FE9"/>
    <w:rsid w:val="00484CE3"/>
    <w:rsid w:val="00484E2D"/>
    <w:rsid w:val="00486001"/>
    <w:rsid w:val="004B52B9"/>
    <w:rsid w:val="004B6407"/>
    <w:rsid w:val="004B791B"/>
    <w:rsid w:val="004C0861"/>
    <w:rsid w:val="004C1B96"/>
    <w:rsid w:val="004C1C17"/>
    <w:rsid w:val="004C38D9"/>
    <w:rsid w:val="004C667C"/>
    <w:rsid w:val="004D0132"/>
    <w:rsid w:val="004D2A46"/>
    <w:rsid w:val="004E2622"/>
    <w:rsid w:val="004E5729"/>
    <w:rsid w:val="004E7A37"/>
    <w:rsid w:val="004F3601"/>
    <w:rsid w:val="00501224"/>
    <w:rsid w:val="00502810"/>
    <w:rsid w:val="00505769"/>
    <w:rsid w:val="0051016B"/>
    <w:rsid w:val="00510DB3"/>
    <w:rsid w:val="00512E0E"/>
    <w:rsid w:val="00514FCB"/>
    <w:rsid w:val="005152D0"/>
    <w:rsid w:val="0051603C"/>
    <w:rsid w:val="00523C61"/>
    <w:rsid w:val="00525707"/>
    <w:rsid w:val="00531CF7"/>
    <w:rsid w:val="00543BC3"/>
    <w:rsid w:val="00543F5B"/>
    <w:rsid w:val="005463D5"/>
    <w:rsid w:val="0054703E"/>
    <w:rsid w:val="00550576"/>
    <w:rsid w:val="0055373B"/>
    <w:rsid w:val="005547B1"/>
    <w:rsid w:val="005576D4"/>
    <w:rsid w:val="00562930"/>
    <w:rsid w:val="00565F49"/>
    <w:rsid w:val="00570011"/>
    <w:rsid w:val="00571708"/>
    <w:rsid w:val="005916FA"/>
    <w:rsid w:val="0059255E"/>
    <w:rsid w:val="005A1785"/>
    <w:rsid w:val="005A3156"/>
    <w:rsid w:val="005B1518"/>
    <w:rsid w:val="005B2581"/>
    <w:rsid w:val="005B4159"/>
    <w:rsid w:val="005C1865"/>
    <w:rsid w:val="005C62CE"/>
    <w:rsid w:val="005D01EE"/>
    <w:rsid w:val="005D035C"/>
    <w:rsid w:val="005D1CC4"/>
    <w:rsid w:val="005D3428"/>
    <w:rsid w:val="005D7A0C"/>
    <w:rsid w:val="005E5D71"/>
    <w:rsid w:val="005F6018"/>
    <w:rsid w:val="005F7C02"/>
    <w:rsid w:val="00601499"/>
    <w:rsid w:val="0060327F"/>
    <w:rsid w:val="00604676"/>
    <w:rsid w:val="006050B9"/>
    <w:rsid w:val="00610DFC"/>
    <w:rsid w:val="006110A8"/>
    <w:rsid w:val="0061605B"/>
    <w:rsid w:val="006174F6"/>
    <w:rsid w:val="006201D1"/>
    <w:rsid w:val="00620553"/>
    <w:rsid w:val="00623472"/>
    <w:rsid w:val="00630589"/>
    <w:rsid w:val="00631F23"/>
    <w:rsid w:val="006479D6"/>
    <w:rsid w:val="00654DEF"/>
    <w:rsid w:val="006602BB"/>
    <w:rsid w:val="00660310"/>
    <w:rsid w:val="00660A4C"/>
    <w:rsid w:val="00660B5B"/>
    <w:rsid w:val="00660F29"/>
    <w:rsid w:val="006612D9"/>
    <w:rsid w:val="0066367F"/>
    <w:rsid w:val="0066591A"/>
    <w:rsid w:val="00673CD1"/>
    <w:rsid w:val="00674C56"/>
    <w:rsid w:val="0067585F"/>
    <w:rsid w:val="006816C8"/>
    <w:rsid w:val="006822E1"/>
    <w:rsid w:val="00682EDB"/>
    <w:rsid w:val="00685967"/>
    <w:rsid w:val="00685F48"/>
    <w:rsid w:val="006901F7"/>
    <w:rsid w:val="00691559"/>
    <w:rsid w:val="006918EE"/>
    <w:rsid w:val="00693075"/>
    <w:rsid w:val="006A0B7E"/>
    <w:rsid w:val="006A37ED"/>
    <w:rsid w:val="006B26E5"/>
    <w:rsid w:val="006B57AC"/>
    <w:rsid w:val="006B5D8C"/>
    <w:rsid w:val="006B7C7E"/>
    <w:rsid w:val="006C067E"/>
    <w:rsid w:val="006C2B32"/>
    <w:rsid w:val="006C3EBD"/>
    <w:rsid w:val="006D144F"/>
    <w:rsid w:val="006D2376"/>
    <w:rsid w:val="006D2E2C"/>
    <w:rsid w:val="006D6CC7"/>
    <w:rsid w:val="006D7AE2"/>
    <w:rsid w:val="006E0D1B"/>
    <w:rsid w:val="006E126A"/>
    <w:rsid w:val="006E3076"/>
    <w:rsid w:val="006E3147"/>
    <w:rsid w:val="006E5032"/>
    <w:rsid w:val="006F1194"/>
    <w:rsid w:val="006F690E"/>
    <w:rsid w:val="00701135"/>
    <w:rsid w:val="00702343"/>
    <w:rsid w:val="007048F3"/>
    <w:rsid w:val="00704AAB"/>
    <w:rsid w:val="00705057"/>
    <w:rsid w:val="00705BDB"/>
    <w:rsid w:val="00705C2A"/>
    <w:rsid w:val="00705F00"/>
    <w:rsid w:val="00707DBA"/>
    <w:rsid w:val="00711C6B"/>
    <w:rsid w:val="00712DC1"/>
    <w:rsid w:val="007135F5"/>
    <w:rsid w:val="00714243"/>
    <w:rsid w:val="007176CE"/>
    <w:rsid w:val="00723766"/>
    <w:rsid w:val="00724A1E"/>
    <w:rsid w:val="0072701F"/>
    <w:rsid w:val="00727CBE"/>
    <w:rsid w:val="007329B2"/>
    <w:rsid w:val="00732D4B"/>
    <w:rsid w:val="007338B4"/>
    <w:rsid w:val="007362A9"/>
    <w:rsid w:val="007400BE"/>
    <w:rsid w:val="00740D30"/>
    <w:rsid w:val="00743521"/>
    <w:rsid w:val="00745B18"/>
    <w:rsid w:val="0075480F"/>
    <w:rsid w:val="00760BE0"/>
    <w:rsid w:val="00761983"/>
    <w:rsid w:val="00762DD6"/>
    <w:rsid w:val="0076372D"/>
    <w:rsid w:val="00763C91"/>
    <w:rsid w:val="00767557"/>
    <w:rsid w:val="00772041"/>
    <w:rsid w:val="00773428"/>
    <w:rsid w:val="00777228"/>
    <w:rsid w:val="0077757F"/>
    <w:rsid w:val="0078105E"/>
    <w:rsid w:val="00787424"/>
    <w:rsid w:val="00791489"/>
    <w:rsid w:val="00793F99"/>
    <w:rsid w:val="007A34EE"/>
    <w:rsid w:val="007A437E"/>
    <w:rsid w:val="007B0824"/>
    <w:rsid w:val="007B27D7"/>
    <w:rsid w:val="007B2E24"/>
    <w:rsid w:val="007B33B4"/>
    <w:rsid w:val="007B5325"/>
    <w:rsid w:val="007B57AD"/>
    <w:rsid w:val="007C1710"/>
    <w:rsid w:val="007C23EB"/>
    <w:rsid w:val="007C2792"/>
    <w:rsid w:val="007D0F55"/>
    <w:rsid w:val="007D1F1E"/>
    <w:rsid w:val="007D5E3E"/>
    <w:rsid w:val="007D68D4"/>
    <w:rsid w:val="007E29B1"/>
    <w:rsid w:val="007E3E2D"/>
    <w:rsid w:val="007E6055"/>
    <w:rsid w:val="007E6D4D"/>
    <w:rsid w:val="007F1BD7"/>
    <w:rsid w:val="007F2E6C"/>
    <w:rsid w:val="007F396A"/>
    <w:rsid w:val="007F4EDD"/>
    <w:rsid w:val="007F4FC6"/>
    <w:rsid w:val="007F549F"/>
    <w:rsid w:val="007F5857"/>
    <w:rsid w:val="007F59BF"/>
    <w:rsid w:val="00803D93"/>
    <w:rsid w:val="00807774"/>
    <w:rsid w:val="008121BC"/>
    <w:rsid w:val="00812C3A"/>
    <w:rsid w:val="00815A7D"/>
    <w:rsid w:val="008169E7"/>
    <w:rsid w:val="00820B93"/>
    <w:rsid w:val="00823A55"/>
    <w:rsid w:val="00823A9B"/>
    <w:rsid w:val="008246A4"/>
    <w:rsid w:val="00825BD8"/>
    <w:rsid w:val="00831596"/>
    <w:rsid w:val="008323E3"/>
    <w:rsid w:val="00835755"/>
    <w:rsid w:val="008369FA"/>
    <w:rsid w:val="00842F8F"/>
    <w:rsid w:val="0084550C"/>
    <w:rsid w:val="00846DBC"/>
    <w:rsid w:val="00846ECF"/>
    <w:rsid w:val="00852EC8"/>
    <w:rsid w:val="00853B11"/>
    <w:rsid w:val="00855201"/>
    <w:rsid w:val="00861F38"/>
    <w:rsid w:val="0086669A"/>
    <w:rsid w:val="00870774"/>
    <w:rsid w:val="00871B88"/>
    <w:rsid w:val="00873376"/>
    <w:rsid w:val="0087618C"/>
    <w:rsid w:val="00881289"/>
    <w:rsid w:val="008875E4"/>
    <w:rsid w:val="00892B0F"/>
    <w:rsid w:val="00894156"/>
    <w:rsid w:val="008A3917"/>
    <w:rsid w:val="008A54B3"/>
    <w:rsid w:val="008A5652"/>
    <w:rsid w:val="008A577B"/>
    <w:rsid w:val="008B1278"/>
    <w:rsid w:val="008B7575"/>
    <w:rsid w:val="008C58FA"/>
    <w:rsid w:val="008C596D"/>
    <w:rsid w:val="008C6778"/>
    <w:rsid w:val="008C7D2A"/>
    <w:rsid w:val="008C7FAB"/>
    <w:rsid w:val="008D3823"/>
    <w:rsid w:val="008E2ECA"/>
    <w:rsid w:val="008E4BFC"/>
    <w:rsid w:val="008E69D6"/>
    <w:rsid w:val="008F1701"/>
    <w:rsid w:val="008F64CF"/>
    <w:rsid w:val="008F6898"/>
    <w:rsid w:val="008F721C"/>
    <w:rsid w:val="008F7BD3"/>
    <w:rsid w:val="00901917"/>
    <w:rsid w:val="00901C1E"/>
    <w:rsid w:val="009046BF"/>
    <w:rsid w:val="00907BA3"/>
    <w:rsid w:val="00910677"/>
    <w:rsid w:val="00913838"/>
    <w:rsid w:val="009140F5"/>
    <w:rsid w:val="00914921"/>
    <w:rsid w:val="009154A6"/>
    <w:rsid w:val="009159B1"/>
    <w:rsid w:val="00916D59"/>
    <w:rsid w:val="0092233F"/>
    <w:rsid w:val="00922801"/>
    <w:rsid w:val="009319CC"/>
    <w:rsid w:val="00936275"/>
    <w:rsid w:val="00942040"/>
    <w:rsid w:val="00942E18"/>
    <w:rsid w:val="00944CEE"/>
    <w:rsid w:val="00945F8D"/>
    <w:rsid w:val="0094602D"/>
    <w:rsid w:val="00946D5F"/>
    <w:rsid w:val="0095170C"/>
    <w:rsid w:val="00954E54"/>
    <w:rsid w:val="009562BB"/>
    <w:rsid w:val="009574AC"/>
    <w:rsid w:val="00960453"/>
    <w:rsid w:val="0096694A"/>
    <w:rsid w:val="00967FB7"/>
    <w:rsid w:val="0097442C"/>
    <w:rsid w:val="00975F64"/>
    <w:rsid w:val="009769FD"/>
    <w:rsid w:val="00984E92"/>
    <w:rsid w:val="009922C7"/>
    <w:rsid w:val="00994C24"/>
    <w:rsid w:val="009A23AF"/>
    <w:rsid w:val="009A4075"/>
    <w:rsid w:val="009B1A8A"/>
    <w:rsid w:val="009B66CB"/>
    <w:rsid w:val="009B6D58"/>
    <w:rsid w:val="009B7514"/>
    <w:rsid w:val="009C037E"/>
    <w:rsid w:val="009C1505"/>
    <w:rsid w:val="009C1593"/>
    <w:rsid w:val="009C37F4"/>
    <w:rsid w:val="009C3CE2"/>
    <w:rsid w:val="009D0B64"/>
    <w:rsid w:val="009D54B0"/>
    <w:rsid w:val="009D74C5"/>
    <w:rsid w:val="009E1E35"/>
    <w:rsid w:val="009E3ADF"/>
    <w:rsid w:val="009E440D"/>
    <w:rsid w:val="009E541E"/>
    <w:rsid w:val="009E6B08"/>
    <w:rsid w:val="009E7FA5"/>
    <w:rsid w:val="009F2B88"/>
    <w:rsid w:val="009F43F2"/>
    <w:rsid w:val="009F5E2A"/>
    <w:rsid w:val="00A0453A"/>
    <w:rsid w:val="00A06357"/>
    <w:rsid w:val="00A10813"/>
    <w:rsid w:val="00A1147A"/>
    <w:rsid w:val="00A1712C"/>
    <w:rsid w:val="00A17175"/>
    <w:rsid w:val="00A1768C"/>
    <w:rsid w:val="00A17EFA"/>
    <w:rsid w:val="00A204C8"/>
    <w:rsid w:val="00A2166C"/>
    <w:rsid w:val="00A22075"/>
    <w:rsid w:val="00A27740"/>
    <w:rsid w:val="00A27D39"/>
    <w:rsid w:val="00A33325"/>
    <w:rsid w:val="00A37410"/>
    <w:rsid w:val="00A41E7E"/>
    <w:rsid w:val="00A42B01"/>
    <w:rsid w:val="00A460EB"/>
    <w:rsid w:val="00A525F4"/>
    <w:rsid w:val="00A54D52"/>
    <w:rsid w:val="00A5597B"/>
    <w:rsid w:val="00A57AC5"/>
    <w:rsid w:val="00A57C08"/>
    <w:rsid w:val="00A6575A"/>
    <w:rsid w:val="00A679BC"/>
    <w:rsid w:val="00A67AA2"/>
    <w:rsid w:val="00A74365"/>
    <w:rsid w:val="00A77DA0"/>
    <w:rsid w:val="00A808EA"/>
    <w:rsid w:val="00A84594"/>
    <w:rsid w:val="00A84A27"/>
    <w:rsid w:val="00A85C46"/>
    <w:rsid w:val="00A8699F"/>
    <w:rsid w:val="00A93640"/>
    <w:rsid w:val="00A95386"/>
    <w:rsid w:val="00A970EC"/>
    <w:rsid w:val="00AA1EE6"/>
    <w:rsid w:val="00AA4737"/>
    <w:rsid w:val="00AA510D"/>
    <w:rsid w:val="00AA6362"/>
    <w:rsid w:val="00AB1576"/>
    <w:rsid w:val="00AB15A5"/>
    <w:rsid w:val="00AB3F7D"/>
    <w:rsid w:val="00AB56C5"/>
    <w:rsid w:val="00AC2D25"/>
    <w:rsid w:val="00AC3412"/>
    <w:rsid w:val="00AC3643"/>
    <w:rsid w:val="00AC4242"/>
    <w:rsid w:val="00AC64D6"/>
    <w:rsid w:val="00AD2CDE"/>
    <w:rsid w:val="00AE33E8"/>
    <w:rsid w:val="00AE57D2"/>
    <w:rsid w:val="00AF6F7A"/>
    <w:rsid w:val="00B04EB1"/>
    <w:rsid w:val="00B13F58"/>
    <w:rsid w:val="00B15409"/>
    <w:rsid w:val="00B15F13"/>
    <w:rsid w:val="00B207FA"/>
    <w:rsid w:val="00B21043"/>
    <w:rsid w:val="00B2193A"/>
    <w:rsid w:val="00B23A07"/>
    <w:rsid w:val="00B24E38"/>
    <w:rsid w:val="00B326B7"/>
    <w:rsid w:val="00B32826"/>
    <w:rsid w:val="00B338A3"/>
    <w:rsid w:val="00B33DF1"/>
    <w:rsid w:val="00B356A0"/>
    <w:rsid w:val="00B416CE"/>
    <w:rsid w:val="00B422BE"/>
    <w:rsid w:val="00B4406F"/>
    <w:rsid w:val="00B453DB"/>
    <w:rsid w:val="00B45784"/>
    <w:rsid w:val="00B4596C"/>
    <w:rsid w:val="00B45F7A"/>
    <w:rsid w:val="00B460DD"/>
    <w:rsid w:val="00B4634E"/>
    <w:rsid w:val="00B47691"/>
    <w:rsid w:val="00B510D9"/>
    <w:rsid w:val="00B52C05"/>
    <w:rsid w:val="00B52ED9"/>
    <w:rsid w:val="00B6067D"/>
    <w:rsid w:val="00B60772"/>
    <w:rsid w:val="00B6165B"/>
    <w:rsid w:val="00B62B4D"/>
    <w:rsid w:val="00B62EF4"/>
    <w:rsid w:val="00B653BD"/>
    <w:rsid w:val="00B66969"/>
    <w:rsid w:val="00B70A78"/>
    <w:rsid w:val="00B76202"/>
    <w:rsid w:val="00B775AB"/>
    <w:rsid w:val="00B80B51"/>
    <w:rsid w:val="00B829F8"/>
    <w:rsid w:val="00B82F47"/>
    <w:rsid w:val="00B839AE"/>
    <w:rsid w:val="00B85E5D"/>
    <w:rsid w:val="00B867BB"/>
    <w:rsid w:val="00B87F61"/>
    <w:rsid w:val="00B92C2D"/>
    <w:rsid w:val="00B95811"/>
    <w:rsid w:val="00B9708C"/>
    <w:rsid w:val="00BA024A"/>
    <w:rsid w:val="00BA0EA2"/>
    <w:rsid w:val="00BA65F0"/>
    <w:rsid w:val="00BB006F"/>
    <w:rsid w:val="00BB5A90"/>
    <w:rsid w:val="00BB6AA0"/>
    <w:rsid w:val="00BC54C2"/>
    <w:rsid w:val="00BC7089"/>
    <w:rsid w:val="00BD1957"/>
    <w:rsid w:val="00BD2498"/>
    <w:rsid w:val="00BD63BE"/>
    <w:rsid w:val="00BD76D3"/>
    <w:rsid w:val="00BE4F32"/>
    <w:rsid w:val="00BE791B"/>
    <w:rsid w:val="00BF0B52"/>
    <w:rsid w:val="00BF1BDD"/>
    <w:rsid w:val="00BF466D"/>
    <w:rsid w:val="00BF5092"/>
    <w:rsid w:val="00C071D1"/>
    <w:rsid w:val="00C143B1"/>
    <w:rsid w:val="00C235F5"/>
    <w:rsid w:val="00C23B6A"/>
    <w:rsid w:val="00C23FFF"/>
    <w:rsid w:val="00C24565"/>
    <w:rsid w:val="00C24738"/>
    <w:rsid w:val="00C31ABE"/>
    <w:rsid w:val="00C3479C"/>
    <w:rsid w:val="00C35C72"/>
    <w:rsid w:val="00C45B38"/>
    <w:rsid w:val="00C46167"/>
    <w:rsid w:val="00C47D8B"/>
    <w:rsid w:val="00C51AE8"/>
    <w:rsid w:val="00C53AD0"/>
    <w:rsid w:val="00C56E75"/>
    <w:rsid w:val="00C57A79"/>
    <w:rsid w:val="00C61CD0"/>
    <w:rsid w:val="00C63F24"/>
    <w:rsid w:val="00C648CF"/>
    <w:rsid w:val="00C6676D"/>
    <w:rsid w:val="00C66DBB"/>
    <w:rsid w:val="00C70AE9"/>
    <w:rsid w:val="00C70FCC"/>
    <w:rsid w:val="00C713E9"/>
    <w:rsid w:val="00C76A81"/>
    <w:rsid w:val="00C77139"/>
    <w:rsid w:val="00C77445"/>
    <w:rsid w:val="00C808A7"/>
    <w:rsid w:val="00C8171B"/>
    <w:rsid w:val="00C81A6B"/>
    <w:rsid w:val="00C83EC2"/>
    <w:rsid w:val="00C915E8"/>
    <w:rsid w:val="00C91ACC"/>
    <w:rsid w:val="00C92595"/>
    <w:rsid w:val="00C950D7"/>
    <w:rsid w:val="00C966A3"/>
    <w:rsid w:val="00C96BC0"/>
    <w:rsid w:val="00CA095B"/>
    <w:rsid w:val="00CA1390"/>
    <w:rsid w:val="00CA4723"/>
    <w:rsid w:val="00CA4DF2"/>
    <w:rsid w:val="00CA4F9E"/>
    <w:rsid w:val="00CB02C5"/>
    <w:rsid w:val="00CB0ABE"/>
    <w:rsid w:val="00CB5553"/>
    <w:rsid w:val="00CC03EF"/>
    <w:rsid w:val="00CC1851"/>
    <w:rsid w:val="00CC3D9D"/>
    <w:rsid w:val="00CC6A1A"/>
    <w:rsid w:val="00CC6FE1"/>
    <w:rsid w:val="00CD26F6"/>
    <w:rsid w:val="00CD59C6"/>
    <w:rsid w:val="00CD6C4A"/>
    <w:rsid w:val="00CE2127"/>
    <w:rsid w:val="00CE30E8"/>
    <w:rsid w:val="00CE65B0"/>
    <w:rsid w:val="00CF0B85"/>
    <w:rsid w:val="00CF1FD1"/>
    <w:rsid w:val="00CF20F5"/>
    <w:rsid w:val="00CF4EF5"/>
    <w:rsid w:val="00CF5057"/>
    <w:rsid w:val="00CF579C"/>
    <w:rsid w:val="00CF5A61"/>
    <w:rsid w:val="00CF5F78"/>
    <w:rsid w:val="00CF683B"/>
    <w:rsid w:val="00CF6BA0"/>
    <w:rsid w:val="00D02214"/>
    <w:rsid w:val="00D1025A"/>
    <w:rsid w:val="00D10B3F"/>
    <w:rsid w:val="00D10C95"/>
    <w:rsid w:val="00D172DE"/>
    <w:rsid w:val="00D230DF"/>
    <w:rsid w:val="00D23FC6"/>
    <w:rsid w:val="00D25846"/>
    <w:rsid w:val="00D27028"/>
    <w:rsid w:val="00D30CDE"/>
    <w:rsid w:val="00D35495"/>
    <w:rsid w:val="00D358E8"/>
    <w:rsid w:val="00D36063"/>
    <w:rsid w:val="00D40124"/>
    <w:rsid w:val="00D431D7"/>
    <w:rsid w:val="00D44CB3"/>
    <w:rsid w:val="00D47333"/>
    <w:rsid w:val="00D475E0"/>
    <w:rsid w:val="00D537ED"/>
    <w:rsid w:val="00D564E1"/>
    <w:rsid w:val="00D57BDA"/>
    <w:rsid w:val="00D60535"/>
    <w:rsid w:val="00D6128D"/>
    <w:rsid w:val="00D66669"/>
    <w:rsid w:val="00D679D8"/>
    <w:rsid w:val="00D80559"/>
    <w:rsid w:val="00D81584"/>
    <w:rsid w:val="00D81621"/>
    <w:rsid w:val="00D83BBB"/>
    <w:rsid w:val="00D86700"/>
    <w:rsid w:val="00D86D7E"/>
    <w:rsid w:val="00D87E78"/>
    <w:rsid w:val="00D906AB"/>
    <w:rsid w:val="00D91723"/>
    <w:rsid w:val="00D935F1"/>
    <w:rsid w:val="00D93B27"/>
    <w:rsid w:val="00DA2F67"/>
    <w:rsid w:val="00DA32B7"/>
    <w:rsid w:val="00DA473F"/>
    <w:rsid w:val="00DA559E"/>
    <w:rsid w:val="00DB0E0E"/>
    <w:rsid w:val="00DB1512"/>
    <w:rsid w:val="00DB26CF"/>
    <w:rsid w:val="00DB51BD"/>
    <w:rsid w:val="00DB603E"/>
    <w:rsid w:val="00DB6574"/>
    <w:rsid w:val="00DC0119"/>
    <w:rsid w:val="00DC2F49"/>
    <w:rsid w:val="00DC3427"/>
    <w:rsid w:val="00DD0417"/>
    <w:rsid w:val="00DD085A"/>
    <w:rsid w:val="00DD2BAF"/>
    <w:rsid w:val="00DD42E3"/>
    <w:rsid w:val="00DD62E5"/>
    <w:rsid w:val="00DD651A"/>
    <w:rsid w:val="00DD67F2"/>
    <w:rsid w:val="00DE15BC"/>
    <w:rsid w:val="00DE3EA0"/>
    <w:rsid w:val="00DE747C"/>
    <w:rsid w:val="00DF1CA5"/>
    <w:rsid w:val="00DF2DC7"/>
    <w:rsid w:val="00DF4B48"/>
    <w:rsid w:val="00DF5324"/>
    <w:rsid w:val="00DF769D"/>
    <w:rsid w:val="00E037EA"/>
    <w:rsid w:val="00E05FFA"/>
    <w:rsid w:val="00E069BF"/>
    <w:rsid w:val="00E0708E"/>
    <w:rsid w:val="00E110F7"/>
    <w:rsid w:val="00E13231"/>
    <w:rsid w:val="00E17511"/>
    <w:rsid w:val="00E221E4"/>
    <w:rsid w:val="00E22A39"/>
    <w:rsid w:val="00E2373C"/>
    <w:rsid w:val="00E239BE"/>
    <w:rsid w:val="00E24945"/>
    <w:rsid w:val="00E2644B"/>
    <w:rsid w:val="00E2658E"/>
    <w:rsid w:val="00E26CBA"/>
    <w:rsid w:val="00E27F1C"/>
    <w:rsid w:val="00E318CF"/>
    <w:rsid w:val="00E33A29"/>
    <w:rsid w:val="00E3448A"/>
    <w:rsid w:val="00E42DCA"/>
    <w:rsid w:val="00E47792"/>
    <w:rsid w:val="00E47A55"/>
    <w:rsid w:val="00E522D8"/>
    <w:rsid w:val="00E5394C"/>
    <w:rsid w:val="00E56152"/>
    <w:rsid w:val="00E561D0"/>
    <w:rsid w:val="00E57DFA"/>
    <w:rsid w:val="00E618C0"/>
    <w:rsid w:val="00E64CFA"/>
    <w:rsid w:val="00E72F4F"/>
    <w:rsid w:val="00E748A9"/>
    <w:rsid w:val="00E75D55"/>
    <w:rsid w:val="00E77212"/>
    <w:rsid w:val="00E77837"/>
    <w:rsid w:val="00E77B37"/>
    <w:rsid w:val="00E77DBE"/>
    <w:rsid w:val="00E81F4F"/>
    <w:rsid w:val="00E913CC"/>
    <w:rsid w:val="00E956B5"/>
    <w:rsid w:val="00E97341"/>
    <w:rsid w:val="00EA0D7D"/>
    <w:rsid w:val="00EA3BFE"/>
    <w:rsid w:val="00EA3E32"/>
    <w:rsid w:val="00EA4CA5"/>
    <w:rsid w:val="00EB4556"/>
    <w:rsid w:val="00EB6367"/>
    <w:rsid w:val="00EC1EFC"/>
    <w:rsid w:val="00EC651C"/>
    <w:rsid w:val="00EE056A"/>
    <w:rsid w:val="00EE34C3"/>
    <w:rsid w:val="00EE3BED"/>
    <w:rsid w:val="00EE3DE6"/>
    <w:rsid w:val="00EE4F3B"/>
    <w:rsid w:val="00EE7EDA"/>
    <w:rsid w:val="00EE7F7D"/>
    <w:rsid w:val="00EF11A1"/>
    <w:rsid w:val="00F00232"/>
    <w:rsid w:val="00F058D9"/>
    <w:rsid w:val="00F06A66"/>
    <w:rsid w:val="00F102C3"/>
    <w:rsid w:val="00F1169A"/>
    <w:rsid w:val="00F11804"/>
    <w:rsid w:val="00F145F9"/>
    <w:rsid w:val="00F17FE9"/>
    <w:rsid w:val="00F206A5"/>
    <w:rsid w:val="00F250B0"/>
    <w:rsid w:val="00F25B23"/>
    <w:rsid w:val="00F25B4F"/>
    <w:rsid w:val="00F27539"/>
    <w:rsid w:val="00F30A24"/>
    <w:rsid w:val="00F33119"/>
    <w:rsid w:val="00F33592"/>
    <w:rsid w:val="00F41AD8"/>
    <w:rsid w:val="00F463AD"/>
    <w:rsid w:val="00F47588"/>
    <w:rsid w:val="00F506C9"/>
    <w:rsid w:val="00F50D1A"/>
    <w:rsid w:val="00F550C1"/>
    <w:rsid w:val="00F575C3"/>
    <w:rsid w:val="00F61C5C"/>
    <w:rsid w:val="00F6516A"/>
    <w:rsid w:val="00F71CCE"/>
    <w:rsid w:val="00F73232"/>
    <w:rsid w:val="00F73E91"/>
    <w:rsid w:val="00F7702C"/>
    <w:rsid w:val="00F77DB7"/>
    <w:rsid w:val="00F80343"/>
    <w:rsid w:val="00F86CF1"/>
    <w:rsid w:val="00F910A0"/>
    <w:rsid w:val="00F931CA"/>
    <w:rsid w:val="00F938F6"/>
    <w:rsid w:val="00F94FE4"/>
    <w:rsid w:val="00F972CA"/>
    <w:rsid w:val="00FA1B33"/>
    <w:rsid w:val="00FA2FF9"/>
    <w:rsid w:val="00FA5B55"/>
    <w:rsid w:val="00FA7A76"/>
    <w:rsid w:val="00FB3C8F"/>
    <w:rsid w:val="00FB535A"/>
    <w:rsid w:val="00FB7876"/>
    <w:rsid w:val="00FC0C8C"/>
    <w:rsid w:val="00FD133B"/>
    <w:rsid w:val="00FD20A4"/>
    <w:rsid w:val="00FD739A"/>
    <w:rsid w:val="00FD7A36"/>
    <w:rsid w:val="00FE0E06"/>
    <w:rsid w:val="00FE4FF9"/>
    <w:rsid w:val="00FE6296"/>
    <w:rsid w:val="00FF152B"/>
    <w:rsid w:val="00FF65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7445"/>
    <w:pPr>
      <w:ind w:left="720"/>
      <w:contextualSpacing/>
    </w:pPr>
  </w:style>
  <w:style w:type="paragraph" w:styleId="BalloonText">
    <w:name w:val="Balloon Text"/>
    <w:basedOn w:val="Normal"/>
    <w:link w:val="BalloonTextChar"/>
    <w:uiPriority w:val="99"/>
    <w:semiHidden/>
    <w:unhideWhenUsed/>
    <w:rsid w:val="008A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17"/>
    <w:rPr>
      <w:rFonts w:ascii="Tahoma" w:hAnsi="Tahoma" w:cs="Tahoma"/>
      <w:sz w:val="16"/>
      <w:szCs w:val="16"/>
    </w:rPr>
  </w:style>
  <w:style w:type="paragraph" w:styleId="Header">
    <w:name w:val="header"/>
    <w:basedOn w:val="Normal"/>
    <w:link w:val="HeaderChar"/>
    <w:uiPriority w:val="99"/>
    <w:unhideWhenUsed/>
    <w:rsid w:val="0028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CE"/>
  </w:style>
  <w:style w:type="paragraph" w:styleId="Footer">
    <w:name w:val="footer"/>
    <w:basedOn w:val="Normal"/>
    <w:link w:val="FooterChar"/>
    <w:uiPriority w:val="99"/>
    <w:unhideWhenUsed/>
    <w:rsid w:val="0028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CE"/>
  </w:style>
  <w:style w:type="paragraph" w:styleId="FootnoteText">
    <w:name w:val="footnote text"/>
    <w:basedOn w:val="Normal"/>
    <w:link w:val="FootnoteTextChar"/>
    <w:uiPriority w:val="99"/>
    <w:semiHidden/>
    <w:unhideWhenUsed/>
    <w:rsid w:val="00246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0BC"/>
    <w:rPr>
      <w:sz w:val="20"/>
      <w:szCs w:val="20"/>
    </w:rPr>
  </w:style>
  <w:style w:type="character" w:styleId="FootnoteReference">
    <w:name w:val="footnote reference"/>
    <w:basedOn w:val="DefaultParagraphFont"/>
    <w:uiPriority w:val="99"/>
    <w:semiHidden/>
    <w:unhideWhenUsed/>
    <w:rsid w:val="002460BC"/>
    <w:rPr>
      <w:vertAlign w:val="superscript"/>
    </w:rPr>
  </w:style>
  <w:style w:type="paragraph" w:styleId="Caption">
    <w:name w:val="caption"/>
    <w:basedOn w:val="Normal"/>
    <w:next w:val="Normal"/>
    <w:uiPriority w:val="35"/>
    <w:unhideWhenUsed/>
    <w:qFormat/>
    <w:rsid w:val="00A17175"/>
    <w:pPr>
      <w:spacing w:line="240" w:lineRule="auto"/>
    </w:pPr>
    <w:rPr>
      <w:b/>
      <w:bCs/>
      <w:color w:val="4F81BD" w:themeColor="accent1"/>
      <w:sz w:val="18"/>
      <w:szCs w:val="18"/>
    </w:rPr>
  </w:style>
  <w:style w:type="table" w:styleId="TableGrid">
    <w:name w:val="Table Grid"/>
    <w:basedOn w:val="TableNormal"/>
    <w:uiPriority w:val="59"/>
    <w:rsid w:val="00762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50C1"/>
    <w:rPr>
      <w:sz w:val="16"/>
      <w:szCs w:val="16"/>
    </w:rPr>
  </w:style>
  <w:style w:type="paragraph" w:styleId="CommentText">
    <w:name w:val="annotation text"/>
    <w:basedOn w:val="Normal"/>
    <w:link w:val="CommentTextChar"/>
    <w:uiPriority w:val="99"/>
    <w:unhideWhenUsed/>
    <w:rsid w:val="00F550C1"/>
    <w:pPr>
      <w:spacing w:line="240" w:lineRule="auto"/>
    </w:pPr>
    <w:rPr>
      <w:sz w:val="20"/>
      <w:szCs w:val="20"/>
    </w:rPr>
  </w:style>
  <w:style w:type="character" w:customStyle="1" w:styleId="CommentTextChar">
    <w:name w:val="Comment Text Char"/>
    <w:basedOn w:val="DefaultParagraphFont"/>
    <w:link w:val="CommentText"/>
    <w:uiPriority w:val="99"/>
    <w:rsid w:val="00F550C1"/>
    <w:rPr>
      <w:sz w:val="20"/>
      <w:szCs w:val="20"/>
    </w:rPr>
  </w:style>
  <w:style w:type="paragraph" w:styleId="CommentSubject">
    <w:name w:val="annotation subject"/>
    <w:basedOn w:val="CommentText"/>
    <w:next w:val="CommentText"/>
    <w:link w:val="CommentSubjectChar"/>
    <w:uiPriority w:val="99"/>
    <w:semiHidden/>
    <w:unhideWhenUsed/>
    <w:rsid w:val="00F550C1"/>
    <w:rPr>
      <w:b/>
      <w:bCs/>
    </w:rPr>
  </w:style>
  <w:style w:type="character" w:customStyle="1" w:styleId="CommentSubjectChar">
    <w:name w:val="Comment Subject Char"/>
    <w:basedOn w:val="CommentTextChar"/>
    <w:link w:val="CommentSubject"/>
    <w:uiPriority w:val="99"/>
    <w:semiHidden/>
    <w:rsid w:val="00F550C1"/>
    <w:rPr>
      <w:b/>
      <w:bCs/>
      <w:sz w:val="20"/>
      <w:szCs w:val="20"/>
    </w:rPr>
  </w:style>
  <w:style w:type="paragraph" w:styleId="DocumentMap">
    <w:name w:val="Document Map"/>
    <w:basedOn w:val="Normal"/>
    <w:link w:val="DocumentMapChar"/>
    <w:uiPriority w:val="99"/>
    <w:semiHidden/>
    <w:unhideWhenUsed/>
    <w:rsid w:val="00B606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067D"/>
    <w:rPr>
      <w:rFonts w:ascii="Tahoma" w:hAnsi="Tahoma" w:cs="Tahoma"/>
      <w:sz w:val="16"/>
      <w:szCs w:val="16"/>
    </w:rPr>
  </w:style>
  <w:style w:type="table" w:customStyle="1" w:styleId="LightGrid-Accent11">
    <w:name w:val="Light Grid - Accent 11"/>
    <w:basedOn w:val="TableNormal"/>
    <w:uiPriority w:val="62"/>
    <w:rsid w:val="006110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5A31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FA2F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nseQuote">
    <w:name w:val="Intense Quote"/>
    <w:basedOn w:val="Normal"/>
    <w:next w:val="Normal"/>
    <w:link w:val="IntenseQuoteChar"/>
    <w:uiPriority w:val="30"/>
    <w:qFormat/>
    <w:rsid w:val="00D23F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FC6"/>
    <w:rPr>
      <w:b/>
      <w:bCs/>
      <w:i/>
      <w:iCs/>
      <w:color w:val="4F81BD" w:themeColor="accent1"/>
    </w:rPr>
  </w:style>
  <w:style w:type="table" w:styleId="LightList-Accent1">
    <w:name w:val="Light List Accent 1"/>
    <w:basedOn w:val="TableNormal"/>
    <w:uiPriority w:val="61"/>
    <w:rsid w:val="00FD20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06E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675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7445"/>
    <w:pPr>
      <w:ind w:left="720"/>
      <w:contextualSpacing/>
    </w:pPr>
  </w:style>
  <w:style w:type="paragraph" w:styleId="BalloonText">
    <w:name w:val="Balloon Text"/>
    <w:basedOn w:val="Normal"/>
    <w:link w:val="BalloonTextChar"/>
    <w:uiPriority w:val="99"/>
    <w:semiHidden/>
    <w:unhideWhenUsed/>
    <w:rsid w:val="008A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17"/>
    <w:rPr>
      <w:rFonts w:ascii="Tahoma" w:hAnsi="Tahoma" w:cs="Tahoma"/>
      <w:sz w:val="16"/>
      <w:szCs w:val="16"/>
    </w:rPr>
  </w:style>
  <w:style w:type="paragraph" w:styleId="Header">
    <w:name w:val="header"/>
    <w:basedOn w:val="Normal"/>
    <w:link w:val="HeaderChar"/>
    <w:uiPriority w:val="99"/>
    <w:unhideWhenUsed/>
    <w:rsid w:val="0028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CE"/>
  </w:style>
  <w:style w:type="paragraph" w:styleId="Footer">
    <w:name w:val="footer"/>
    <w:basedOn w:val="Normal"/>
    <w:link w:val="FooterChar"/>
    <w:uiPriority w:val="99"/>
    <w:unhideWhenUsed/>
    <w:rsid w:val="0028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CE"/>
  </w:style>
  <w:style w:type="paragraph" w:styleId="FootnoteText">
    <w:name w:val="footnote text"/>
    <w:basedOn w:val="Normal"/>
    <w:link w:val="FootnoteTextChar"/>
    <w:uiPriority w:val="99"/>
    <w:semiHidden/>
    <w:unhideWhenUsed/>
    <w:rsid w:val="00246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0BC"/>
    <w:rPr>
      <w:sz w:val="20"/>
      <w:szCs w:val="20"/>
    </w:rPr>
  </w:style>
  <w:style w:type="character" w:styleId="FootnoteReference">
    <w:name w:val="footnote reference"/>
    <w:basedOn w:val="DefaultParagraphFont"/>
    <w:uiPriority w:val="99"/>
    <w:semiHidden/>
    <w:unhideWhenUsed/>
    <w:rsid w:val="002460BC"/>
    <w:rPr>
      <w:vertAlign w:val="superscript"/>
    </w:rPr>
  </w:style>
  <w:style w:type="paragraph" w:styleId="Caption">
    <w:name w:val="caption"/>
    <w:basedOn w:val="Normal"/>
    <w:next w:val="Normal"/>
    <w:uiPriority w:val="35"/>
    <w:unhideWhenUsed/>
    <w:qFormat/>
    <w:rsid w:val="00A17175"/>
    <w:pPr>
      <w:spacing w:line="240" w:lineRule="auto"/>
    </w:pPr>
    <w:rPr>
      <w:b/>
      <w:bCs/>
      <w:color w:val="4F81BD" w:themeColor="accent1"/>
      <w:sz w:val="18"/>
      <w:szCs w:val="18"/>
    </w:rPr>
  </w:style>
  <w:style w:type="table" w:styleId="TableGrid">
    <w:name w:val="Table Grid"/>
    <w:basedOn w:val="TableNormal"/>
    <w:uiPriority w:val="59"/>
    <w:rsid w:val="00762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50C1"/>
    <w:rPr>
      <w:sz w:val="16"/>
      <w:szCs w:val="16"/>
    </w:rPr>
  </w:style>
  <w:style w:type="paragraph" w:styleId="CommentText">
    <w:name w:val="annotation text"/>
    <w:basedOn w:val="Normal"/>
    <w:link w:val="CommentTextChar"/>
    <w:uiPriority w:val="99"/>
    <w:unhideWhenUsed/>
    <w:rsid w:val="00F550C1"/>
    <w:pPr>
      <w:spacing w:line="240" w:lineRule="auto"/>
    </w:pPr>
    <w:rPr>
      <w:sz w:val="20"/>
      <w:szCs w:val="20"/>
    </w:rPr>
  </w:style>
  <w:style w:type="character" w:customStyle="1" w:styleId="CommentTextChar">
    <w:name w:val="Comment Text Char"/>
    <w:basedOn w:val="DefaultParagraphFont"/>
    <w:link w:val="CommentText"/>
    <w:uiPriority w:val="99"/>
    <w:rsid w:val="00F550C1"/>
    <w:rPr>
      <w:sz w:val="20"/>
      <w:szCs w:val="20"/>
    </w:rPr>
  </w:style>
  <w:style w:type="paragraph" w:styleId="CommentSubject">
    <w:name w:val="annotation subject"/>
    <w:basedOn w:val="CommentText"/>
    <w:next w:val="CommentText"/>
    <w:link w:val="CommentSubjectChar"/>
    <w:uiPriority w:val="99"/>
    <w:semiHidden/>
    <w:unhideWhenUsed/>
    <w:rsid w:val="00F550C1"/>
    <w:rPr>
      <w:b/>
      <w:bCs/>
    </w:rPr>
  </w:style>
  <w:style w:type="character" w:customStyle="1" w:styleId="CommentSubjectChar">
    <w:name w:val="Comment Subject Char"/>
    <w:basedOn w:val="CommentTextChar"/>
    <w:link w:val="CommentSubject"/>
    <w:uiPriority w:val="99"/>
    <w:semiHidden/>
    <w:rsid w:val="00F550C1"/>
    <w:rPr>
      <w:b/>
      <w:bCs/>
      <w:sz w:val="20"/>
      <w:szCs w:val="20"/>
    </w:rPr>
  </w:style>
  <w:style w:type="paragraph" w:styleId="DocumentMap">
    <w:name w:val="Document Map"/>
    <w:basedOn w:val="Normal"/>
    <w:link w:val="DocumentMapChar"/>
    <w:uiPriority w:val="99"/>
    <w:semiHidden/>
    <w:unhideWhenUsed/>
    <w:rsid w:val="00B606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067D"/>
    <w:rPr>
      <w:rFonts w:ascii="Tahoma" w:hAnsi="Tahoma" w:cs="Tahoma"/>
      <w:sz w:val="16"/>
      <w:szCs w:val="16"/>
    </w:rPr>
  </w:style>
  <w:style w:type="table" w:customStyle="1" w:styleId="LightGrid-Accent11">
    <w:name w:val="Light Grid - Accent 11"/>
    <w:basedOn w:val="TableNormal"/>
    <w:uiPriority w:val="62"/>
    <w:rsid w:val="006110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5A31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FA2F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nseQuote">
    <w:name w:val="Intense Quote"/>
    <w:basedOn w:val="Normal"/>
    <w:next w:val="Normal"/>
    <w:link w:val="IntenseQuoteChar"/>
    <w:uiPriority w:val="30"/>
    <w:qFormat/>
    <w:rsid w:val="00D23F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FC6"/>
    <w:rPr>
      <w:b/>
      <w:bCs/>
      <w:i/>
      <w:iCs/>
      <w:color w:val="4F81BD" w:themeColor="accent1"/>
    </w:rPr>
  </w:style>
  <w:style w:type="table" w:styleId="LightList-Accent1">
    <w:name w:val="Light List Accent 1"/>
    <w:basedOn w:val="TableNormal"/>
    <w:uiPriority w:val="61"/>
    <w:rsid w:val="00FD20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06E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67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522">
      <w:bodyDiv w:val="1"/>
      <w:marLeft w:val="0"/>
      <w:marRight w:val="0"/>
      <w:marTop w:val="0"/>
      <w:marBottom w:val="0"/>
      <w:divBdr>
        <w:top w:val="none" w:sz="0" w:space="0" w:color="auto"/>
        <w:left w:val="none" w:sz="0" w:space="0" w:color="auto"/>
        <w:bottom w:val="none" w:sz="0" w:space="0" w:color="auto"/>
        <w:right w:val="none" w:sz="0" w:space="0" w:color="auto"/>
      </w:divBdr>
    </w:div>
    <w:div w:id="319577649">
      <w:bodyDiv w:val="1"/>
      <w:marLeft w:val="0"/>
      <w:marRight w:val="0"/>
      <w:marTop w:val="0"/>
      <w:marBottom w:val="0"/>
      <w:divBdr>
        <w:top w:val="none" w:sz="0" w:space="0" w:color="auto"/>
        <w:left w:val="none" w:sz="0" w:space="0" w:color="auto"/>
        <w:bottom w:val="none" w:sz="0" w:space="0" w:color="auto"/>
        <w:right w:val="none" w:sz="0" w:space="0" w:color="auto"/>
      </w:divBdr>
    </w:div>
    <w:div w:id="667438846">
      <w:bodyDiv w:val="1"/>
      <w:marLeft w:val="0"/>
      <w:marRight w:val="0"/>
      <w:marTop w:val="0"/>
      <w:marBottom w:val="0"/>
      <w:divBdr>
        <w:top w:val="none" w:sz="0" w:space="0" w:color="auto"/>
        <w:left w:val="none" w:sz="0" w:space="0" w:color="auto"/>
        <w:bottom w:val="none" w:sz="0" w:space="0" w:color="auto"/>
        <w:right w:val="none" w:sz="0" w:space="0" w:color="auto"/>
      </w:divBdr>
    </w:div>
    <w:div w:id="884373856">
      <w:bodyDiv w:val="1"/>
      <w:marLeft w:val="0"/>
      <w:marRight w:val="0"/>
      <w:marTop w:val="0"/>
      <w:marBottom w:val="0"/>
      <w:divBdr>
        <w:top w:val="none" w:sz="0" w:space="0" w:color="auto"/>
        <w:left w:val="none" w:sz="0" w:space="0" w:color="auto"/>
        <w:bottom w:val="none" w:sz="0" w:space="0" w:color="auto"/>
        <w:right w:val="none" w:sz="0" w:space="0" w:color="auto"/>
      </w:divBdr>
    </w:div>
    <w:div w:id="11052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Status of Loan Investment as of Sep- 2013 </a:t>
            </a:r>
          </a:p>
        </c:rich>
      </c:tx>
      <c:overlay val="0"/>
    </c:title>
    <c:autoTitleDeleted val="0"/>
    <c:plotArea>
      <c:layout/>
      <c:pieChart>
        <c:varyColors val="1"/>
        <c:ser>
          <c:idx val="0"/>
          <c:order val="0"/>
          <c:tx>
            <c:strRef>
              <c:f>Sheet1!$B$1</c:f>
              <c:strCache>
                <c:ptCount val="1"/>
                <c:pt idx="0">
                  <c:v>As of February 2012</c:v>
                </c:pt>
              </c:strCache>
            </c:strRef>
          </c:tx>
          <c:dLbls>
            <c:dLbl>
              <c:idx val="0"/>
              <c:tx>
                <c:rich>
                  <a:bodyPr/>
                  <a:lstStyle/>
                  <a:p>
                    <a:r>
                      <a:rPr lang="en-US"/>
                      <a:t>Agriculture 43%</a:t>
                    </a:r>
                  </a:p>
                </c:rich>
              </c:tx>
              <c:showLegendKey val="0"/>
              <c:showVal val="1"/>
              <c:showCatName val="1"/>
              <c:showSerName val="0"/>
              <c:showPercent val="0"/>
              <c:showBubbleSize val="0"/>
            </c:dLbl>
            <c:dLbl>
              <c:idx val="1"/>
              <c:layout>
                <c:manualLayout>
                  <c:x val="0.11416463616962665"/>
                  <c:y val="-0.18791499247480312"/>
                </c:manualLayout>
              </c:layout>
              <c:tx>
                <c:rich>
                  <a:bodyPr/>
                  <a:lstStyle/>
                  <a:p>
                    <a:r>
                      <a:rPr lang="en-US"/>
                      <a:t>Trading</a:t>
                    </a:r>
                  </a:p>
                  <a:p>
                    <a:r>
                      <a:rPr lang="en-US"/>
                      <a:t> 37%</a:t>
                    </a:r>
                  </a:p>
                </c:rich>
              </c:tx>
              <c:showLegendKey val="0"/>
              <c:showVal val="1"/>
              <c:showCatName val="1"/>
              <c:showSerName val="0"/>
              <c:showPercent val="0"/>
              <c:showBubbleSize val="0"/>
            </c:dLbl>
            <c:dLbl>
              <c:idx val="2"/>
              <c:layout>
                <c:manualLayout>
                  <c:x val="0.10356828824642694"/>
                  <c:y val="0.17690825873024169"/>
                </c:manualLayout>
              </c:layout>
              <c:tx>
                <c:rich>
                  <a:bodyPr/>
                  <a:lstStyle/>
                  <a:p>
                    <a:r>
                      <a:rPr lang="en-US"/>
                      <a:t>Livestock</a:t>
                    </a:r>
                  </a:p>
                  <a:p>
                    <a:r>
                      <a:rPr lang="en-US"/>
                      <a:t> 18%</a:t>
                    </a:r>
                  </a:p>
                </c:rich>
              </c:tx>
              <c:showLegendKey val="0"/>
              <c:showVal val="1"/>
              <c:showCatName val="1"/>
              <c:showSerName val="0"/>
              <c:showPercent val="0"/>
              <c:showBubbleSize val="0"/>
            </c:dLbl>
            <c:dLbl>
              <c:idx val="3"/>
              <c:layout>
                <c:manualLayout>
                  <c:x val="-0.15428422894690383"/>
                  <c:y val="3.0417581761184063E-2"/>
                </c:manualLayout>
              </c:layout>
              <c:tx>
                <c:rich>
                  <a:bodyPr/>
                  <a:lstStyle/>
                  <a:p>
                    <a:r>
                      <a:rPr lang="en-US"/>
                      <a:t>Production 1%</a:t>
                    </a:r>
                  </a:p>
                </c:rich>
              </c:tx>
              <c:showLegendKey val="0"/>
              <c:showVal val="1"/>
              <c:showCatName val="1"/>
              <c:showSerName val="0"/>
              <c:showPercent val="0"/>
              <c:showBubbleSize val="0"/>
            </c:dLbl>
            <c:dLbl>
              <c:idx val="4"/>
              <c:layout>
                <c:manualLayout>
                  <c:x val="3.4653857922932046E-2"/>
                  <c:y val="-1.9261751048891402E-2"/>
                </c:manualLayout>
              </c:layout>
              <c:tx>
                <c:rich>
                  <a:bodyPr/>
                  <a:lstStyle/>
                  <a:p>
                    <a:r>
                      <a:rPr lang="en-US"/>
                      <a:t>Services 1%</a:t>
                    </a:r>
                  </a:p>
                </c:rich>
              </c:tx>
              <c:showLegendKey val="0"/>
              <c:showVal val="1"/>
              <c:showCatName val="1"/>
              <c:showSerName val="0"/>
              <c:showPercent val="0"/>
              <c:showBubbleSize val="0"/>
            </c:dLbl>
            <c:dLbl>
              <c:idx val="5"/>
              <c:delete val="1"/>
            </c:dLbl>
            <c:txPr>
              <a:bodyPr/>
              <a:lstStyle/>
              <a:p>
                <a:pPr>
                  <a:defRPr sz="800"/>
                </a:pPr>
                <a:endParaRPr lang="en-US"/>
              </a:p>
            </c:txPr>
            <c:showLegendKey val="0"/>
            <c:showVal val="1"/>
            <c:showCatName val="1"/>
            <c:showSerName val="0"/>
            <c:showPercent val="0"/>
            <c:showBubbleSize val="0"/>
            <c:showLeaderLines val="1"/>
          </c:dLbls>
          <c:cat>
            <c:strRef>
              <c:f>Sheet1!$A$2:$A$7</c:f>
              <c:strCache>
                <c:ptCount val="6"/>
                <c:pt idx="0">
                  <c:v>Agriculture</c:v>
                </c:pt>
                <c:pt idx="1">
                  <c:v>Trading</c:v>
                </c:pt>
                <c:pt idx="2">
                  <c:v>Livestock</c:v>
                </c:pt>
                <c:pt idx="3">
                  <c:v>Production</c:v>
                </c:pt>
                <c:pt idx="4">
                  <c:v>Servising</c:v>
                </c:pt>
                <c:pt idx="5">
                  <c:v>Others</c:v>
                </c:pt>
              </c:strCache>
            </c:strRef>
          </c:cat>
          <c:val>
            <c:numRef>
              <c:f>Sheet1!$B$2:$B$7</c:f>
              <c:numCache>
                <c:formatCode>0%</c:formatCode>
                <c:ptCount val="6"/>
                <c:pt idx="0">
                  <c:v>0.43</c:v>
                </c:pt>
                <c:pt idx="1">
                  <c:v>0.37</c:v>
                </c:pt>
                <c:pt idx="2">
                  <c:v>0.18</c:v>
                </c:pt>
                <c:pt idx="3">
                  <c:v>0.01</c:v>
                </c:pt>
                <c:pt idx="4">
                  <c:v>0.01</c:v>
                </c:pt>
              </c:numCache>
            </c:numRef>
          </c:val>
        </c:ser>
        <c:dLbls>
          <c:showLegendKey val="0"/>
          <c:showVal val="0"/>
          <c:showCatName val="0"/>
          <c:showSerName val="0"/>
          <c:showPercent val="0"/>
          <c:showBubbleSize val="0"/>
          <c:showLeaderLines val="1"/>
        </c:dLbls>
        <c:firstSliceAng val="0"/>
      </c:pieChart>
    </c:plotArea>
    <c:legend>
      <c:legendPos val="r"/>
      <c:legendEntry>
        <c:idx val="5"/>
        <c:delete val="1"/>
      </c:legendEntry>
      <c:overlay val="0"/>
      <c:txPr>
        <a:bodyPr/>
        <a:lstStyle/>
        <a:p>
          <a:pPr>
            <a:defRPr sz="800"/>
          </a:pPr>
          <a:endParaRPr lang="en-US"/>
        </a:p>
      </c:txPr>
    </c:legend>
    <c:plotVisOnly val="1"/>
    <c:dispBlanksAs val="zero"/>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2014-04-14T01:00:00+00:00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00051335</Project_x0020_Number>
    <Project_x0020_Manager xmlns="f1161f5b-24a3-4c2d-bc81-44cb9325e8ee" xsi:nil="true"/>
    <TaxCatchAll xmlns="1ed4137b-41b2-488b-8250-6d369ec27664">
      <Value>1111</Value>
      <Value>1197</Value>
      <Value>1</Value>
      <Value>763</Value>
    </TaxCatchAll>
    <c4e2ab2cc9354bbf9064eeb465a566ea xmlns="1ed4137b-41b2-488b-8250-6d369ec27664">
      <Terms xmlns="http://schemas.microsoft.com/office/infopath/2007/PartnerControls"/>
    </c4e2ab2cc9354bbf9064eeb465a566ea>
    <UndpProjectNo xmlns="1ed4137b-41b2-488b-8250-6d369ec27664">00051335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ATLASPDC-4-14616</_dlc_DocId>
    <_dlc_DocIdUrl xmlns="f1161f5b-24a3-4c2d-bc81-44cb9325e8ee">
      <Url>https://info.undp.org/docs/pdc/_layouts/DocIdRedir.aspx?ID=ATLASPDC-4-14616</Url>
      <Description>ATLASPDC-4-14616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6D87D-3672-4795-AC8C-AF75A3BFEE6A}"/>
</file>

<file path=customXml/itemProps2.xml><?xml version="1.0" encoding="utf-8"?>
<ds:datastoreItem xmlns:ds="http://schemas.openxmlformats.org/officeDocument/2006/customXml" ds:itemID="{5DDBDF48-C67A-4E0D-8C6B-2AE8C14CD4D4}"/>
</file>

<file path=customXml/itemProps3.xml><?xml version="1.0" encoding="utf-8"?>
<ds:datastoreItem xmlns:ds="http://schemas.openxmlformats.org/officeDocument/2006/customXml" ds:itemID="{F305A1BF-E379-4702-BBDB-A82B9BD6129B}"/>
</file>

<file path=customXml/itemProps4.xml><?xml version="1.0" encoding="utf-8"?>
<ds:datastoreItem xmlns:ds="http://schemas.openxmlformats.org/officeDocument/2006/customXml" ds:itemID="{44033B0C-22AD-4AC6-BCCA-7A5DEFDB4B46}"/>
</file>

<file path=customXml/itemProps5.xml><?xml version="1.0" encoding="utf-8"?>
<ds:datastoreItem xmlns:ds="http://schemas.openxmlformats.org/officeDocument/2006/customXml" ds:itemID="{1767F855-2B8D-4BB6-AB82-E68E6CE67906}"/>
</file>

<file path=customXml/itemProps6.xml><?xml version="1.0" encoding="utf-8"?>
<ds:datastoreItem xmlns:ds="http://schemas.openxmlformats.org/officeDocument/2006/customXml" ds:itemID="{A9A875AA-9BD7-445A-8221-AD734FC77BC2}"/>
</file>

<file path=docProps/app.xml><?xml version="1.0" encoding="utf-8"?>
<Properties xmlns="http://schemas.openxmlformats.org/officeDocument/2006/extended-properties" xmlns:vt="http://schemas.openxmlformats.org/officeDocument/2006/docPropsVTypes">
  <Template>Normal.dotm</Template>
  <TotalTime>1</TotalTime>
  <Pages>11</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thein.myint</dc:creator>
  <cp:lastModifiedBy>Mya Thuzar</cp:lastModifiedBy>
  <cp:revision>2</cp:revision>
  <cp:lastPrinted>2013-12-18T10:23:00Z</cp:lastPrinted>
  <dcterms:created xsi:type="dcterms:W3CDTF">2014-04-14T01:46:00Z</dcterms:created>
  <dcterms:modified xsi:type="dcterms:W3CDTF">2014-04-14T01:46:00Z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c6d21677-2ad5-418e-8f20-ff44b09b1884</vt:lpwstr>
  </property>
  <property fmtid="{D5CDD505-2E9C-101B-9397-08002B2CF9AE}" pid="18" name="DocumentSetDescription">
    <vt:lpwstr/>
  </property>
  <property fmtid="{D5CDD505-2E9C-101B-9397-08002B2CF9AE}" pid="19" name="URL">
    <vt:lpwstr/>
  </property>
</Properties>
</file>